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6317" w14:textId="62B1EC5E" w:rsidR="002C2B7E" w:rsidRDefault="00D349E1" w:rsidP="002C2B7E">
      <w:pPr>
        <w:spacing w:after="240"/>
        <w:jc w:val="both"/>
        <w:rPr>
          <w:b/>
          <w:bCs/>
          <w:sz w:val="28"/>
          <w:szCs w:val="28"/>
        </w:rPr>
      </w:pPr>
      <w:r w:rsidRPr="00F86B98">
        <w:rPr>
          <w:b/>
          <w:bCs/>
          <w:sz w:val="28"/>
          <w:szCs w:val="28"/>
        </w:rPr>
        <w:t xml:space="preserve">Investment Strategy </w:t>
      </w:r>
      <w:r w:rsidR="00490FE0">
        <w:rPr>
          <w:b/>
          <w:bCs/>
          <w:sz w:val="28"/>
          <w:szCs w:val="28"/>
        </w:rPr>
        <w:t>2022/23</w:t>
      </w:r>
    </w:p>
    <w:p w14:paraId="6E5A0D64" w14:textId="5F73AE6B" w:rsidR="003B62C1" w:rsidRPr="003B62C1" w:rsidRDefault="00D349E1" w:rsidP="002C2B7E">
      <w:pPr>
        <w:spacing w:after="240"/>
        <w:jc w:val="both"/>
        <w:rPr>
          <w:b/>
          <w:bCs/>
        </w:rPr>
      </w:pPr>
      <w:r w:rsidRPr="003B62C1">
        <w:t xml:space="preserve">The </w:t>
      </w:r>
      <w:r w:rsidR="003408EB">
        <w:t>council</w:t>
      </w:r>
      <w:r w:rsidRPr="003B62C1">
        <w:t xml:space="preserve"> can make or hold investments for the following purposes: </w:t>
      </w:r>
    </w:p>
    <w:p w14:paraId="47D1444D" w14:textId="0ECB84AB" w:rsidR="003B62C1" w:rsidRPr="003B62C1" w:rsidRDefault="00D349E1" w:rsidP="00E874FB">
      <w:pPr>
        <w:pStyle w:val="ListParagraph"/>
        <w:numPr>
          <w:ilvl w:val="0"/>
          <w:numId w:val="6"/>
        </w:numPr>
        <w:spacing w:after="240"/>
        <w:ind w:left="567" w:right="-57" w:hanging="283"/>
        <w:jc w:val="both"/>
      </w:pPr>
      <w:r w:rsidRPr="003B62C1">
        <w:t>because it has surplus cash as a result of</w:t>
      </w:r>
      <w:r w:rsidRPr="003B62C1">
        <w:t xml:space="preserve"> its day-to-day activities, for example when income is received in advance of expenditure (known as treasury management investments),</w:t>
      </w:r>
    </w:p>
    <w:p w14:paraId="5E8A14BB" w14:textId="20F5AC84" w:rsidR="002C2B7E" w:rsidRPr="00E874FB" w:rsidRDefault="00D349E1" w:rsidP="00E874FB">
      <w:pPr>
        <w:pStyle w:val="ListParagraph"/>
        <w:numPr>
          <w:ilvl w:val="0"/>
          <w:numId w:val="6"/>
        </w:numPr>
        <w:spacing w:after="240"/>
        <w:ind w:left="567" w:hanging="283"/>
        <w:jc w:val="both"/>
        <w:rPr>
          <w:bCs/>
        </w:rPr>
      </w:pPr>
      <w:r w:rsidRPr="00E874FB">
        <w:rPr>
          <w:bCs/>
        </w:rPr>
        <w:t>support local public services by lending to or buying shares in other    organisations</w:t>
      </w:r>
      <w:r w:rsidR="000A4784" w:rsidRPr="00E874FB">
        <w:rPr>
          <w:bCs/>
        </w:rPr>
        <w:t xml:space="preserve"> (service investments)</w:t>
      </w:r>
      <w:r w:rsidRPr="00E874FB">
        <w:rPr>
          <w:bCs/>
        </w:rPr>
        <w:t>, and</w:t>
      </w:r>
    </w:p>
    <w:p w14:paraId="724A21D2" w14:textId="26952F1F" w:rsidR="002C2B7E" w:rsidRPr="00E874FB" w:rsidRDefault="00D349E1" w:rsidP="00E874FB">
      <w:pPr>
        <w:pStyle w:val="ListParagraph"/>
        <w:numPr>
          <w:ilvl w:val="0"/>
          <w:numId w:val="6"/>
        </w:numPr>
        <w:spacing w:after="240"/>
        <w:ind w:left="567" w:hanging="283"/>
        <w:jc w:val="both"/>
        <w:rPr>
          <w:bCs/>
        </w:rPr>
      </w:pPr>
      <w:r w:rsidRPr="00E874FB">
        <w:rPr>
          <w:bCs/>
        </w:rPr>
        <w:t>earn inv</w:t>
      </w:r>
      <w:r w:rsidRPr="00E874FB">
        <w:rPr>
          <w:bCs/>
        </w:rPr>
        <w:t xml:space="preserve">estment income </w:t>
      </w:r>
      <w:r w:rsidR="000A4784" w:rsidRPr="00E874FB">
        <w:rPr>
          <w:bCs/>
        </w:rPr>
        <w:t>(commercial investments)</w:t>
      </w:r>
    </w:p>
    <w:p w14:paraId="1D8CFF73" w14:textId="611E2821" w:rsidR="009843D7" w:rsidRPr="009843D7" w:rsidRDefault="00D349E1" w:rsidP="009843D7">
      <w:pPr>
        <w:spacing w:after="240"/>
        <w:jc w:val="both"/>
        <w:rPr>
          <w:bCs/>
        </w:rPr>
      </w:pPr>
      <w:r>
        <w:rPr>
          <w:bCs/>
        </w:rPr>
        <w:t xml:space="preserve">In making investments the council will take into consideration guidance issued by </w:t>
      </w:r>
      <w:r w:rsidRPr="003408EB">
        <w:rPr>
          <w:bCs/>
        </w:rPr>
        <w:t>Chartered institute of Public Finance and Accountancy</w:t>
      </w:r>
      <w:r>
        <w:rPr>
          <w:bCs/>
        </w:rPr>
        <w:t xml:space="preserve"> (CIPFA) and government departments. The Prudential Code issued by CIPFA states t</w:t>
      </w:r>
      <w:r>
        <w:rPr>
          <w:bCs/>
        </w:rPr>
        <w:t>hat l</w:t>
      </w:r>
      <w:r w:rsidRPr="003408EB">
        <w:rPr>
          <w:bCs/>
        </w:rPr>
        <w:t>ocal authorities should avoid exposing public funds to inappropriate or unquantified risk. The prime policy objective of their treasury management investment activities is the security of funds</w:t>
      </w:r>
      <w:r>
        <w:rPr>
          <w:bCs/>
        </w:rPr>
        <w:t>.</w:t>
      </w:r>
      <w:r w:rsidRPr="003408EB">
        <w:t xml:space="preserve"> </w:t>
      </w:r>
      <w:r w:rsidRPr="003408EB">
        <w:rPr>
          <w:bCs/>
        </w:rPr>
        <w:t>Investments for ‘commercial purposes’, which are taken p</w:t>
      </w:r>
      <w:r w:rsidRPr="003408EB">
        <w:rPr>
          <w:bCs/>
        </w:rPr>
        <w:t>rimarily for financial return, are likely to be higher risk, and local authorities must not borrow to invest primarily for financial return</w:t>
      </w:r>
      <w:r>
        <w:rPr>
          <w:bCs/>
        </w:rPr>
        <w:t xml:space="preserve">. </w:t>
      </w:r>
      <w:r w:rsidR="0047175F" w:rsidRPr="0047175F">
        <w:rPr>
          <w:bCs/>
        </w:rPr>
        <w:t xml:space="preserve">Statutory Guidance on Local Government Investments (3rd Edition) (Statutory Investment Guidance) issued by the </w:t>
      </w:r>
      <w:r w:rsidR="0047175F">
        <w:rPr>
          <w:bCs/>
        </w:rPr>
        <w:t xml:space="preserve">then </w:t>
      </w:r>
      <w:r w:rsidR="0047175F" w:rsidRPr="0047175F">
        <w:rPr>
          <w:bCs/>
        </w:rPr>
        <w:t>Ministry for Housing, Communities and Local Government</w:t>
      </w:r>
      <w:r w:rsidR="007A549A">
        <w:rPr>
          <w:bCs/>
        </w:rPr>
        <w:t xml:space="preserve"> (MHCLG)</w:t>
      </w:r>
      <w:r w:rsidR="0047175F" w:rsidRPr="0047175F">
        <w:rPr>
          <w:bCs/>
        </w:rPr>
        <w:t xml:space="preserve"> </w:t>
      </w:r>
      <w:r w:rsidR="0047175F">
        <w:rPr>
          <w:bCs/>
        </w:rPr>
        <w:t xml:space="preserve">also </w:t>
      </w:r>
      <w:r w:rsidR="0047175F" w:rsidRPr="00E874FB">
        <w:rPr>
          <w:bCs/>
        </w:rPr>
        <w:t>state local authorities must not borrow more than or in advance of their needs purely in order to profit from the investment of the extra sums borrowed</w:t>
      </w:r>
      <w:r w:rsidRPr="002C1C4A">
        <w:rPr>
          <w:bCs/>
        </w:rPr>
        <w:t>.</w:t>
      </w:r>
      <w:r>
        <w:rPr>
          <w:bCs/>
        </w:rPr>
        <w:t xml:space="preserve"> </w:t>
      </w:r>
      <w:r w:rsidR="002C1C4A">
        <w:rPr>
          <w:bCs/>
        </w:rPr>
        <w:t xml:space="preserve">The guidance </w:t>
      </w:r>
      <w:r w:rsidRPr="009843D7">
        <w:rPr>
          <w:bCs/>
        </w:rPr>
        <w:t>make</w:t>
      </w:r>
      <w:r w:rsidR="002C1C4A">
        <w:rPr>
          <w:bCs/>
        </w:rPr>
        <w:t>s</w:t>
      </w:r>
      <w:r w:rsidRPr="009843D7">
        <w:rPr>
          <w:bCs/>
        </w:rPr>
        <w:t xml:space="preserve"> it clear that i</w:t>
      </w:r>
      <w:r w:rsidRPr="009843D7">
        <w:rPr>
          <w:bCs/>
        </w:rPr>
        <w:t>t extends to borrowing taken on to finance the acquisition of non-financial as well as financial investments.</w:t>
      </w:r>
    </w:p>
    <w:p w14:paraId="5744DA52" w14:textId="4866DF4E" w:rsidR="000A4784" w:rsidRPr="000A4784" w:rsidRDefault="00D349E1" w:rsidP="000A4784">
      <w:pPr>
        <w:spacing w:after="240"/>
        <w:jc w:val="both"/>
        <w:rPr>
          <w:b/>
        </w:rPr>
      </w:pPr>
      <w:r w:rsidRPr="000A4784">
        <w:rPr>
          <w:b/>
        </w:rPr>
        <w:t>Treasury Management Investments</w:t>
      </w:r>
    </w:p>
    <w:p w14:paraId="2D9184DC" w14:textId="176EF6E7" w:rsidR="000A4784" w:rsidRDefault="00D349E1" w:rsidP="000A4784">
      <w:pPr>
        <w:spacing w:after="240"/>
        <w:jc w:val="both"/>
        <w:rPr>
          <w:bCs/>
        </w:rPr>
      </w:pPr>
      <w:r>
        <w:rPr>
          <w:bCs/>
        </w:rPr>
        <w:t xml:space="preserve">The authority holds reserves and in general the authority has positive cash flows with grants and other income often being received prior to the expenditure, such as payroll, being incurred. These along with the potential for borrowing being raised before </w:t>
      </w:r>
      <w:r>
        <w:rPr>
          <w:bCs/>
        </w:rPr>
        <w:t xml:space="preserve">the capital expenditure is incurred leads to positive cash balances which need investing. These investments are made in line with the guidance on treasury management issued by the </w:t>
      </w:r>
      <w:bookmarkStart w:id="0" w:name="_Hlk91773208"/>
      <w:r w:rsidR="003408EB">
        <w:rPr>
          <w:bCs/>
        </w:rPr>
        <w:t>C</w:t>
      </w:r>
      <w:r>
        <w:rPr>
          <w:bCs/>
        </w:rPr>
        <w:t xml:space="preserve">hartered institute of </w:t>
      </w:r>
      <w:r w:rsidRPr="000A4784">
        <w:rPr>
          <w:bCs/>
        </w:rPr>
        <w:t>Public Finance and Accountancy</w:t>
      </w:r>
      <w:bookmarkEnd w:id="0"/>
      <w:r>
        <w:rPr>
          <w:bCs/>
        </w:rPr>
        <w:t>.</w:t>
      </w:r>
    </w:p>
    <w:p w14:paraId="31DE1985" w14:textId="5BA340D5" w:rsidR="000A4784" w:rsidRPr="000A4784" w:rsidRDefault="00D349E1" w:rsidP="000A4784">
      <w:pPr>
        <w:spacing w:after="240"/>
        <w:jc w:val="both"/>
        <w:rPr>
          <w:bCs/>
        </w:rPr>
      </w:pPr>
      <w:r w:rsidRPr="000A4784">
        <w:rPr>
          <w:bCs/>
        </w:rPr>
        <w:t>The contribution that</w:t>
      </w:r>
      <w:r w:rsidRPr="000A4784">
        <w:rPr>
          <w:bCs/>
        </w:rPr>
        <w:t xml:space="preserve"> these investments make to the objectives of the </w:t>
      </w:r>
      <w:r w:rsidR="00E874FB">
        <w:rPr>
          <w:bCs/>
        </w:rPr>
        <w:t>council</w:t>
      </w:r>
      <w:r w:rsidRPr="000A4784">
        <w:rPr>
          <w:bCs/>
        </w:rPr>
        <w:t xml:space="preserve"> is to support effective treasury management activities. </w:t>
      </w:r>
    </w:p>
    <w:p w14:paraId="546B8C1E" w14:textId="20FB16C1" w:rsidR="000A4784" w:rsidRDefault="00D349E1" w:rsidP="000A4784">
      <w:pPr>
        <w:spacing w:after="240"/>
        <w:jc w:val="both"/>
        <w:rPr>
          <w:bCs/>
        </w:rPr>
      </w:pPr>
      <w:r w:rsidRPr="000A4784">
        <w:rPr>
          <w:bCs/>
        </w:rPr>
        <w:t xml:space="preserve">Full details of the </w:t>
      </w:r>
      <w:r w:rsidR="00E874FB">
        <w:rPr>
          <w:bCs/>
        </w:rPr>
        <w:t>council</w:t>
      </w:r>
      <w:r w:rsidRPr="000A4784">
        <w:rPr>
          <w:bCs/>
        </w:rPr>
        <w:t>’s policies and its plan for 2022/23 for treasury management investments are covered in a separate document, the tr</w:t>
      </w:r>
      <w:r w:rsidRPr="000A4784">
        <w:rPr>
          <w:bCs/>
        </w:rPr>
        <w:t>easury management strategy</w:t>
      </w:r>
      <w:r>
        <w:rPr>
          <w:bCs/>
        </w:rPr>
        <w:t>.</w:t>
      </w:r>
    </w:p>
    <w:p w14:paraId="53FFC5DA" w14:textId="01D87127" w:rsidR="002C2B7E" w:rsidRPr="00571679" w:rsidRDefault="00D349E1" w:rsidP="002C2B7E">
      <w:pPr>
        <w:spacing w:after="240"/>
        <w:jc w:val="both"/>
        <w:rPr>
          <w:b/>
          <w:bCs/>
          <w:i/>
        </w:rPr>
      </w:pPr>
      <w:r w:rsidRPr="003408EB">
        <w:rPr>
          <w:b/>
        </w:rPr>
        <w:t>Service Investments</w:t>
      </w:r>
    </w:p>
    <w:p w14:paraId="16562B8B" w14:textId="56EAC842" w:rsidR="002C2B7E" w:rsidRPr="00571679" w:rsidRDefault="00D349E1" w:rsidP="002C2B7E">
      <w:pPr>
        <w:spacing w:after="240"/>
        <w:jc w:val="both"/>
        <w:rPr>
          <w:bCs/>
        </w:rPr>
      </w:pPr>
      <w:r w:rsidRPr="00571679">
        <w:rPr>
          <w:bCs/>
        </w:rPr>
        <w:t>The council provides loans as part of its service delivery and not primarily to generate income. The authority has made loans to Lancashire County Development Ltd which is an owned company that promotes econo</w:t>
      </w:r>
      <w:r w:rsidRPr="00571679">
        <w:rPr>
          <w:bCs/>
        </w:rPr>
        <w:t>mic development within the county</w:t>
      </w:r>
      <w:r w:rsidR="00E874FB">
        <w:rPr>
          <w:bCs/>
        </w:rPr>
        <w:t>,</w:t>
      </w:r>
      <w:r w:rsidRPr="00571679">
        <w:rPr>
          <w:bCs/>
        </w:rPr>
        <w:t xml:space="preserve"> an arrangement with Blackpool BC with respect to the waste service</w:t>
      </w:r>
      <w:r w:rsidR="00490FE0">
        <w:rPr>
          <w:bCs/>
        </w:rPr>
        <w:t xml:space="preserve"> and schools</w:t>
      </w:r>
      <w:r w:rsidRPr="00571679">
        <w:rPr>
          <w:bCs/>
        </w:rPr>
        <w:t>. The council also has an employee loan scheme to promote alternatives to travelling by car.</w:t>
      </w:r>
    </w:p>
    <w:p w14:paraId="02D13AD5" w14:textId="4BFD5DB4" w:rsidR="002C2B7E" w:rsidRPr="00571679" w:rsidRDefault="00D349E1" w:rsidP="002C2B7E">
      <w:pPr>
        <w:spacing w:after="240"/>
        <w:jc w:val="both"/>
        <w:rPr>
          <w:bCs/>
        </w:rPr>
      </w:pPr>
      <w:r w:rsidRPr="00571679">
        <w:rPr>
          <w:bCs/>
        </w:rPr>
        <w:t>The key risk when making service loans is that the</w:t>
      </w:r>
      <w:r w:rsidRPr="00571679">
        <w:rPr>
          <w:bCs/>
        </w:rPr>
        <w:t xml:space="preserve"> borrower is unable to repay the loan. Currently, the exposure faced by the council is low and it is proposed that this </w:t>
      </w:r>
      <w:r w:rsidRPr="00571679">
        <w:rPr>
          <w:bCs/>
        </w:rPr>
        <w:lastRenderedPageBreak/>
        <w:t>continues in 20</w:t>
      </w:r>
      <w:r w:rsidR="00C04398" w:rsidRPr="00571679">
        <w:rPr>
          <w:bCs/>
        </w:rPr>
        <w:t>2</w:t>
      </w:r>
      <w:r w:rsidR="00490FE0">
        <w:rPr>
          <w:bCs/>
        </w:rPr>
        <w:t>2</w:t>
      </w:r>
      <w:r w:rsidRPr="00571679">
        <w:rPr>
          <w:bCs/>
        </w:rPr>
        <w:t>/2</w:t>
      </w:r>
      <w:r w:rsidR="00490FE0">
        <w:rPr>
          <w:bCs/>
        </w:rPr>
        <w:t>3</w:t>
      </w:r>
      <w:r w:rsidRPr="00571679">
        <w:rPr>
          <w:bCs/>
        </w:rPr>
        <w:t xml:space="preserve">. The table below provides details of the loans outstanding at 31 March </w:t>
      </w:r>
      <w:r w:rsidR="00571679" w:rsidRPr="00571679">
        <w:rPr>
          <w:bCs/>
        </w:rPr>
        <w:t>2</w:t>
      </w:r>
      <w:r w:rsidR="00490FE0">
        <w:rPr>
          <w:bCs/>
        </w:rPr>
        <w:t>1</w:t>
      </w:r>
      <w:r w:rsidRPr="00571679">
        <w:rPr>
          <w:bCs/>
        </w:rPr>
        <w:t xml:space="preserve"> and proposed limits for 20</w:t>
      </w:r>
      <w:r w:rsidR="00C04398" w:rsidRPr="00571679">
        <w:rPr>
          <w:bCs/>
        </w:rPr>
        <w:t>2</w:t>
      </w:r>
      <w:r w:rsidR="00490FE0">
        <w:rPr>
          <w:bCs/>
        </w:rPr>
        <w:t>2</w:t>
      </w:r>
      <w:r w:rsidRPr="00571679">
        <w:rPr>
          <w:bCs/>
        </w:rPr>
        <w:t>/2</w:t>
      </w:r>
      <w:r w:rsidR="00490FE0">
        <w:rPr>
          <w:bCs/>
        </w:rPr>
        <w:t>3</w:t>
      </w:r>
      <w:r w:rsidRPr="00571679">
        <w:rPr>
          <w:bCs/>
        </w:rPr>
        <w:t>.</w:t>
      </w:r>
    </w:p>
    <w:tbl>
      <w:tblPr>
        <w:tblStyle w:val="TableGrid"/>
        <w:tblW w:w="0" w:type="auto"/>
        <w:tblLook w:val="04A0" w:firstRow="1" w:lastRow="0" w:firstColumn="1" w:lastColumn="0" w:noHBand="0" w:noVBand="1"/>
      </w:tblPr>
      <w:tblGrid>
        <w:gridCol w:w="3114"/>
        <w:gridCol w:w="2977"/>
        <w:gridCol w:w="2746"/>
      </w:tblGrid>
      <w:tr w:rsidR="006D01C8" w14:paraId="6E258BAA" w14:textId="77777777" w:rsidTr="003F4DDE">
        <w:trPr>
          <w:cantSplit/>
          <w:trHeight w:val="560"/>
        </w:trPr>
        <w:tc>
          <w:tcPr>
            <w:tcW w:w="3114" w:type="dxa"/>
            <w:shd w:val="clear" w:color="auto" w:fill="auto"/>
          </w:tcPr>
          <w:p w14:paraId="2FCAADDC" w14:textId="77777777" w:rsidR="002C2B7E" w:rsidRPr="00B24EDA" w:rsidRDefault="00D349E1" w:rsidP="00670015">
            <w:pPr>
              <w:rPr>
                <w:bCs/>
              </w:rPr>
            </w:pPr>
            <w:r w:rsidRPr="00B24EDA">
              <w:rPr>
                <w:bCs/>
              </w:rPr>
              <w:t>Category</w:t>
            </w:r>
            <w:r w:rsidRPr="00B24EDA">
              <w:rPr>
                <w:bCs/>
              </w:rPr>
              <w:t xml:space="preserve"> of borrower</w:t>
            </w:r>
          </w:p>
        </w:tc>
        <w:tc>
          <w:tcPr>
            <w:tcW w:w="2977" w:type="dxa"/>
            <w:shd w:val="clear" w:color="auto" w:fill="auto"/>
          </w:tcPr>
          <w:p w14:paraId="0D7C9869" w14:textId="77777777" w:rsidR="002C2B7E" w:rsidRPr="00B24EDA" w:rsidRDefault="00D349E1" w:rsidP="00670015">
            <w:pPr>
              <w:jc w:val="right"/>
              <w:rPr>
                <w:bCs/>
              </w:rPr>
            </w:pPr>
            <w:r w:rsidRPr="00B24EDA">
              <w:rPr>
                <w:bCs/>
              </w:rPr>
              <w:t xml:space="preserve">Outstanding at </w:t>
            </w:r>
          </w:p>
          <w:p w14:paraId="7FEFA332" w14:textId="7BD27C79" w:rsidR="002C2B7E" w:rsidRPr="00B24EDA" w:rsidRDefault="00D349E1" w:rsidP="00670015">
            <w:pPr>
              <w:jc w:val="right"/>
              <w:rPr>
                <w:bCs/>
              </w:rPr>
            </w:pPr>
            <w:r w:rsidRPr="00B24EDA">
              <w:rPr>
                <w:bCs/>
              </w:rPr>
              <w:t>31 March 2</w:t>
            </w:r>
            <w:r w:rsidR="00490FE0">
              <w:rPr>
                <w:bCs/>
              </w:rPr>
              <w:t>1</w:t>
            </w:r>
          </w:p>
          <w:p w14:paraId="2754B811" w14:textId="77777777" w:rsidR="002C2B7E" w:rsidRPr="00B24EDA" w:rsidRDefault="00D349E1" w:rsidP="00670015">
            <w:pPr>
              <w:jc w:val="right"/>
              <w:rPr>
                <w:bCs/>
              </w:rPr>
            </w:pPr>
            <w:r w:rsidRPr="00B24EDA">
              <w:rPr>
                <w:bCs/>
              </w:rPr>
              <w:t>£m</w:t>
            </w:r>
          </w:p>
        </w:tc>
        <w:tc>
          <w:tcPr>
            <w:tcW w:w="2746" w:type="dxa"/>
          </w:tcPr>
          <w:p w14:paraId="7826243D" w14:textId="77777777" w:rsidR="002C2B7E" w:rsidRPr="00B24EDA" w:rsidRDefault="00D349E1" w:rsidP="00670015">
            <w:pPr>
              <w:jc w:val="right"/>
              <w:rPr>
                <w:bCs/>
              </w:rPr>
            </w:pPr>
            <w:r w:rsidRPr="00B24EDA">
              <w:rPr>
                <w:bCs/>
              </w:rPr>
              <w:t xml:space="preserve">Proposed Limit </w:t>
            </w:r>
          </w:p>
          <w:p w14:paraId="6A491D9C" w14:textId="797C2C59" w:rsidR="002C2B7E" w:rsidRPr="00B24EDA" w:rsidRDefault="00D349E1" w:rsidP="00670015">
            <w:pPr>
              <w:jc w:val="right"/>
              <w:rPr>
                <w:bCs/>
              </w:rPr>
            </w:pPr>
            <w:r w:rsidRPr="00B24EDA">
              <w:rPr>
                <w:bCs/>
              </w:rPr>
              <w:t>202</w:t>
            </w:r>
            <w:r>
              <w:rPr>
                <w:bCs/>
              </w:rPr>
              <w:t>2</w:t>
            </w:r>
            <w:r w:rsidRPr="00B24EDA">
              <w:rPr>
                <w:bCs/>
              </w:rPr>
              <w:t>/2</w:t>
            </w:r>
            <w:r>
              <w:rPr>
                <w:bCs/>
              </w:rPr>
              <w:t>3</w:t>
            </w:r>
          </w:p>
          <w:p w14:paraId="1201E7C8" w14:textId="77777777" w:rsidR="002C2B7E" w:rsidRPr="00B24EDA" w:rsidRDefault="00D349E1" w:rsidP="00670015">
            <w:pPr>
              <w:jc w:val="right"/>
              <w:rPr>
                <w:bCs/>
              </w:rPr>
            </w:pPr>
            <w:r w:rsidRPr="00B24EDA">
              <w:rPr>
                <w:bCs/>
              </w:rPr>
              <w:t>£m</w:t>
            </w:r>
          </w:p>
        </w:tc>
      </w:tr>
      <w:tr w:rsidR="006D01C8" w14:paraId="4A3911E4" w14:textId="77777777" w:rsidTr="003F4DDE">
        <w:trPr>
          <w:trHeight w:val="115"/>
        </w:trPr>
        <w:tc>
          <w:tcPr>
            <w:tcW w:w="3114" w:type="dxa"/>
            <w:shd w:val="clear" w:color="auto" w:fill="auto"/>
          </w:tcPr>
          <w:p w14:paraId="316BF8D0" w14:textId="77777777" w:rsidR="002C2B7E" w:rsidRPr="00B24EDA" w:rsidRDefault="00D349E1" w:rsidP="00670015">
            <w:pPr>
              <w:jc w:val="both"/>
              <w:rPr>
                <w:bCs/>
              </w:rPr>
            </w:pPr>
            <w:r w:rsidRPr="00B24EDA">
              <w:rPr>
                <w:bCs/>
              </w:rPr>
              <w:t>Subsidiaries</w:t>
            </w:r>
          </w:p>
        </w:tc>
        <w:tc>
          <w:tcPr>
            <w:tcW w:w="2977" w:type="dxa"/>
            <w:shd w:val="clear" w:color="auto" w:fill="auto"/>
          </w:tcPr>
          <w:p w14:paraId="16350760" w14:textId="77777777" w:rsidR="002C2B7E" w:rsidRPr="00B24EDA" w:rsidRDefault="00D349E1" w:rsidP="00670015">
            <w:pPr>
              <w:jc w:val="right"/>
              <w:rPr>
                <w:bCs/>
              </w:rPr>
            </w:pPr>
            <w:r w:rsidRPr="00B24EDA">
              <w:rPr>
                <w:bCs/>
              </w:rPr>
              <w:t>7.2</w:t>
            </w:r>
          </w:p>
        </w:tc>
        <w:tc>
          <w:tcPr>
            <w:tcW w:w="2746" w:type="dxa"/>
          </w:tcPr>
          <w:p w14:paraId="0B68B01D" w14:textId="77777777" w:rsidR="002C2B7E" w:rsidRPr="00B24EDA" w:rsidRDefault="00D349E1" w:rsidP="00B24EDA">
            <w:pPr>
              <w:jc w:val="right"/>
              <w:rPr>
                <w:bCs/>
              </w:rPr>
            </w:pPr>
            <w:r w:rsidRPr="00B24EDA">
              <w:rPr>
                <w:bCs/>
              </w:rPr>
              <w:t>1</w:t>
            </w:r>
            <w:r w:rsidR="00B24EDA" w:rsidRPr="00B24EDA">
              <w:rPr>
                <w:bCs/>
              </w:rPr>
              <w:t>5</w:t>
            </w:r>
            <w:r w:rsidRPr="00B24EDA">
              <w:rPr>
                <w:bCs/>
              </w:rPr>
              <w:t>.0</w:t>
            </w:r>
          </w:p>
        </w:tc>
      </w:tr>
      <w:tr w:rsidR="006D01C8" w14:paraId="7F94E9E4" w14:textId="77777777" w:rsidTr="003F4DDE">
        <w:trPr>
          <w:trHeight w:val="276"/>
        </w:trPr>
        <w:tc>
          <w:tcPr>
            <w:tcW w:w="3114" w:type="dxa"/>
            <w:shd w:val="clear" w:color="auto" w:fill="auto"/>
          </w:tcPr>
          <w:p w14:paraId="0A702B01" w14:textId="77777777" w:rsidR="002C2B7E" w:rsidRPr="00B24EDA" w:rsidRDefault="00D349E1" w:rsidP="00670015">
            <w:pPr>
              <w:jc w:val="both"/>
              <w:rPr>
                <w:bCs/>
              </w:rPr>
            </w:pPr>
            <w:r w:rsidRPr="00B24EDA">
              <w:rPr>
                <w:bCs/>
              </w:rPr>
              <w:t>Other councils</w:t>
            </w:r>
          </w:p>
        </w:tc>
        <w:tc>
          <w:tcPr>
            <w:tcW w:w="2977" w:type="dxa"/>
            <w:shd w:val="clear" w:color="auto" w:fill="auto"/>
          </w:tcPr>
          <w:p w14:paraId="0C2E6A4E" w14:textId="24BF412A" w:rsidR="002C2B7E" w:rsidRPr="00B24EDA" w:rsidRDefault="00D349E1" w:rsidP="00670015">
            <w:pPr>
              <w:jc w:val="right"/>
              <w:rPr>
                <w:bCs/>
              </w:rPr>
            </w:pPr>
            <w:r w:rsidRPr="00B24EDA">
              <w:rPr>
                <w:bCs/>
              </w:rPr>
              <w:t>2</w:t>
            </w:r>
            <w:r w:rsidR="00716D68">
              <w:rPr>
                <w:bCs/>
              </w:rPr>
              <w:t>8.1</w:t>
            </w:r>
          </w:p>
        </w:tc>
        <w:tc>
          <w:tcPr>
            <w:tcW w:w="2746" w:type="dxa"/>
          </w:tcPr>
          <w:p w14:paraId="6BB0FADD" w14:textId="77777777" w:rsidR="002C2B7E" w:rsidRPr="00B24EDA" w:rsidRDefault="00D349E1" w:rsidP="00670015">
            <w:pPr>
              <w:jc w:val="right"/>
              <w:rPr>
                <w:bCs/>
              </w:rPr>
            </w:pPr>
            <w:r w:rsidRPr="00B24EDA">
              <w:rPr>
                <w:bCs/>
              </w:rPr>
              <w:t>40.0</w:t>
            </w:r>
          </w:p>
        </w:tc>
      </w:tr>
      <w:tr w:rsidR="006D01C8" w14:paraId="6617A185" w14:textId="77777777" w:rsidTr="003F4DDE">
        <w:trPr>
          <w:trHeight w:val="281"/>
        </w:trPr>
        <w:tc>
          <w:tcPr>
            <w:tcW w:w="3114" w:type="dxa"/>
            <w:shd w:val="clear" w:color="auto" w:fill="auto"/>
          </w:tcPr>
          <w:p w14:paraId="0EDDC88A" w14:textId="77777777" w:rsidR="002C2B7E" w:rsidRPr="00B24EDA" w:rsidRDefault="00D349E1" w:rsidP="00670015">
            <w:pPr>
              <w:jc w:val="both"/>
              <w:rPr>
                <w:bCs/>
              </w:rPr>
            </w:pPr>
            <w:r w:rsidRPr="00B24EDA">
              <w:rPr>
                <w:bCs/>
              </w:rPr>
              <w:t>Employees</w:t>
            </w:r>
          </w:p>
        </w:tc>
        <w:tc>
          <w:tcPr>
            <w:tcW w:w="2977" w:type="dxa"/>
            <w:shd w:val="clear" w:color="auto" w:fill="auto"/>
          </w:tcPr>
          <w:p w14:paraId="6D632195" w14:textId="5020BF00" w:rsidR="002C2B7E" w:rsidRPr="00B24EDA" w:rsidRDefault="00D349E1" w:rsidP="00670015">
            <w:pPr>
              <w:jc w:val="right"/>
              <w:rPr>
                <w:bCs/>
              </w:rPr>
            </w:pPr>
            <w:r w:rsidRPr="00B24EDA">
              <w:rPr>
                <w:bCs/>
              </w:rPr>
              <w:t>0.</w:t>
            </w:r>
            <w:r w:rsidR="00716D68">
              <w:rPr>
                <w:bCs/>
              </w:rPr>
              <w:t>2</w:t>
            </w:r>
          </w:p>
        </w:tc>
        <w:tc>
          <w:tcPr>
            <w:tcW w:w="2746" w:type="dxa"/>
          </w:tcPr>
          <w:p w14:paraId="0F0C4DF6" w14:textId="77777777" w:rsidR="002C2B7E" w:rsidRPr="00B24EDA" w:rsidRDefault="00D349E1" w:rsidP="00670015">
            <w:pPr>
              <w:jc w:val="right"/>
              <w:rPr>
                <w:bCs/>
              </w:rPr>
            </w:pPr>
            <w:r w:rsidRPr="00B24EDA">
              <w:rPr>
                <w:bCs/>
              </w:rPr>
              <w:t>1.0</w:t>
            </w:r>
          </w:p>
        </w:tc>
      </w:tr>
      <w:tr w:rsidR="006D01C8" w14:paraId="078B98A6" w14:textId="77777777" w:rsidTr="003F4DDE">
        <w:trPr>
          <w:trHeight w:val="286"/>
        </w:trPr>
        <w:tc>
          <w:tcPr>
            <w:tcW w:w="3114" w:type="dxa"/>
            <w:shd w:val="clear" w:color="auto" w:fill="auto"/>
          </w:tcPr>
          <w:p w14:paraId="339C4C46" w14:textId="77777777" w:rsidR="002C2B7E" w:rsidRPr="00B24EDA" w:rsidRDefault="00D349E1" w:rsidP="00670015">
            <w:pPr>
              <w:jc w:val="both"/>
              <w:rPr>
                <w:bCs/>
              </w:rPr>
            </w:pPr>
            <w:r w:rsidRPr="00B24EDA">
              <w:rPr>
                <w:bCs/>
              </w:rPr>
              <w:t>Schools</w:t>
            </w:r>
          </w:p>
        </w:tc>
        <w:tc>
          <w:tcPr>
            <w:tcW w:w="2977" w:type="dxa"/>
            <w:shd w:val="clear" w:color="auto" w:fill="auto"/>
          </w:tcPr>
          <w:p w14:paraId="0E26F4EC" w14:textId="77777777" w:rsidR="002C2B7E" w:rsidRPr="00B24EDA" w:rsidRDefault="00D349E1" w:rsidP="00670015">
            <w:pPr>
              <w:jc w:val="right"/>
              <w:rPr>
                <w:bCs/>
              </w:rPr>
            </w:pPr>
            <w:r w:rsidRPr="00B24EDA">
              <w:rPr>
                <w:bCs/>
              </w:rPr>
              <w:t>0.2</w:t>
            </w:r>
          </w:p>
        </w:tc>
        <w:tc>
          <w:tcPr>
            <w:tcW w:w="2746" w:type="dxa"/>
          </w:tcPr>
          <w:p w14:paraId="078EACE6" w14:textId="77777777" w:rsidR="002C2B7E" w:rsidRPr="00B24EDA" w:rsidRDefault="00D349E1" w:rsidP="00670015">
            <w:pPr>
              <w:jc w:val="right"/>
              <w:rPr>
                <w:bCs/>
              </w:rPr>
            </w:pPr>
            <w:r w:rsidRPr="00B24EDA">
              <w:rPr>
                <w:bCs/>
              </w:rPr>
              <w:t>5.0</w:t>
            </w:r>
          </w:p>
        </w:tc>
      </w:tr>
      <w:tr w:rsidR="006D01C8" w14:paraId="25EA5D62" w14:textId="77777777" w:rsidTr="003F4DDE">
        <w:trPr>
          <w:trHeight w:val="258"/>
        </w:trPr>
        <w:tc>
          <w:tcPr>
            <w:tcW w:w="3114" w:type="dxa"/>
            <w:shd w:val="clear" w:color="auto" w:fill="auto"/>
          </w:tcPr>
          <w:p w14:paraId="116BC869" w14:textId="77777777" w:rsidR="002C2B7E" w:rsidRPr="00B24EDA" w:rsidRDefault="00D349E1" w:rsidP="00670015">
            <w:pPr>
              <w:jc w:val="both"/>
              <w:rPr>
                <w:b/>
                <w:bCs/>
              </w:rPr>
            </w:pPr>
            <w:r w:rsidRPr="00B24EDA">
              <w:rPr>
                <w:b/>
                <w:bCs/>
              </w:rPr>
              <w:t>Total</w:t>
            </w:r>
          </w:p>
        </w:tc>
        <w:tc>
          <w:tcPr>
            <w:tcW w:w="2977" w:type="dxa"/>
            <w:shd w:val="clear" w:color="auto" w:fill="auto"/>
          </w:tcPr>
          <w:p w14:paraId="6EF42F25" w14:textId="4F83D83C" w:rsidR="002C2B7E" w:rsidRPr="00B24EDA" w:rsidRDefault="00D349E1" w:rsidP="00670015">
            <w:pPr>
              <w:jc w:val="right"/>
              <w:rPr>
                <w:b/>
                <w:bCs/>
              </w:rPr>
            </w:pPr>
            <w:r>
              <w:rPr>
                <w:b/>
                <w:bCs/>
              </w:rPr>
              <w:t>35.7</w:t>
            </w:r>
          </w:p>
        </w:tc>
        <w:tc>
          <w:tcPr>
            <w:tcW w:w="2746" w:type="dxa"/>
          </w:tcPr>
          <w:p w14:paraId="28C197D4" w14:textId="77777777" w:rsidR="002C2B7E" w:rsidRPr="00B24EDA" w:rsidRDefault="00D349E1" w:rsidP="00670015">
            <w:pPr>
              <w:jc w:val="right"/>
              <w:rPr>
                <w:b/>
                <w:bCs/>
              </w:rPr>
            </w:pPr>
            <w:r w:rsidRPr="00B24EDA">
              <w:rPr>
                <w:b/>
                <w:bCs/>
              </w:rPr>
              <w:t>61.0</w:t>
            </w:r>
          </w:p>
        </w:tc>
      </w:tr>
    </w:tbl>
    <w:p w14:paraId="2B0D4960" w14:textId="77777777" w:rsidR="002C2B7E" w:rsidRPr="00B24EDA" w:rsidRDefault="002C2B7E" w:rsidP="00D349E1">
      <w:pPr>
        <w:jc w:val="both"/>
        <w:rPr>
          <w:b/>
          <w:bCs/>
          <w:i/>
        </w:rPr>
      </w:pPr>
    </w:p>
    <w:p w14:paraId="37C4BA5F" w14:textId="61859AA5" w:rsidR="002C2B7E" w:rsidRDefault="00D349E1" w:rsidP="00D349E1">
      <w:pPr>
        <w:jc w:val="both"/>
        <w:rPr>
          <w:b/>
          <w:bCs/>
          <w:i/>
        </w:rPr>
      </w:pPr>
      <w:r w:rsidRPr="00B24EDA">
        <w:rPr>
          <w:b/>
          <w:bCs/>
          <w:i/>
        </w:rPr>
        <w:t>Service Investments: shares</w:t>
      </w:r>
    </w:p>
    <w:p w14:paraId="5D8A8854" w14:textId="77777777" w:rsidR="00D349E1" w:rsidRPr="00B24EDA" w:rsidRDefault="00D349E1" w:rsidP="00D349E1">
      <w:pPr>
        <w:jc w:val="both"/>
        <w:rPr>
          <w:b/>
          <w:bCs/>
          <w:i/>
        </w:rPr>
      </w:pPr>
    </w:p>
    <w:p w14:paraId="112EA7D4" w14:textId="5738917F" w:rsidR="002C2B7E" w:rsidRPr="0047175F" w:rsidRDefault="00D349E1" w:rsidP="002C2B7E">
      <w:pPr>
        <w:spacing w:after="240"/>
        <w:jc w:val="both"/>
      </w:pPr>
      <w:r w:rsidRPr="00B24EDA">
        <w:rPr>
          <w:bCs/>
        </w:rPr>
        <w:t xml:space="preserve">The county council holds shares in the </w:t>
      </w:r>
      <w:r w:rsidRPr="00B24EDA">
        <w:rPr>
          <w:bCs/>
        </w:rPr>
        <w:t>Municipal Bond Agency for specific service delivery objectives</w:t>
      </w:r>
      <w:r w:rsidRPr="00B24EDA">
        <w:rPr>
          <w:b/>
          <w:bCs/>
        </w:rPr>
        <w:t>.</w:t>
      </w:r>
      <w:r w:rsidR="0047175F">
        <w:rPr>
          <w:b/>
          <w:bCs/>
        </w:rPr>
        <w:t xml:space="preserve"> </w:t>
      </w:r>
      <w:r w:rsidR="0047175F" w:rsidRPr="0047175F">
        <w:t>It is not expected that any significant return will be made on these shares.</w:t>
      </w:r>
    </w:p>
    <w:p w14:paraId="45E93746" w14:textId="77777777" w:rsidR="002C2B7E" w:rsidRPr="00B24EDA" w:rsidRDefault="00D349E1" w:rsidP="002C2B7E">
      <w:pPr>
        <w:spacing w:after="240"/>
        <w:jc w:val="both"/>
        <w:rPr>
          <w:b/>
          <w:bCs/>
          <w:i/>
        </w:rPr>
      </w:pPr>
      <w:r w:rsidRPr="00B24EDA">
        <w:rPr>
          <w:b/>
          <w:bCs/>
          <w:i/>
        </w:rPr>
        <w:t>Commercial Activities</w:t>
      </w:r>
    </w:p>
    <w:p w14:paraId="1EFA484E" w14:textId="6F639B5D" w:rsidR="002C2B7E" w:rsidRPr="00B24EDA" w:rsidRDefault="00D349E1" w:rsidP="002C2B7E">
      <w:pPr>
        <w:spacing w:after="240"/>
        <w:jc w:val="both"/>
        <w:rPr>
          <w:bCs/>
        </w:rPr>
      </w:pPr>
      <w:r w:rsidRPr="00B24EDA">
        <w:rPr>
          <w:bCs/>
        </w:rPr>
        <w:t>The MHCLG defines property to be an investment if it is held primarily or partially to genera</w:t>
      </w:r>
      <w:r w:rsidRPr="00B24EDA">
        <w:rPr>
          <w:bCs/>
        </w:rPr>
        <w:t xml:space="preserve">te a profit. Although the council promotes income generating activity it is generally within the context of providing a service efficiently and covering costs rather than profit seeking. Areas where it is considered the definition is met is in relation to </w:t>
      </w:r>
      <w:r w:rsidRPr="00B24EDA">
        <w:rPr>
          <w:bCs/>
        </w:rPr>
        <w:t>smallholdings and Lancashir</w:t>
      </w:r>
      <w:r w:rsidR="003F4DDE" w:rsidRPr="00B24EDA">
        <w:rPr>
          <w:bCs/>
        </w:rPr>
        <w:t>e County Development Ltd. In 202</w:t>
      </w:r>
      <w:r w:rsidR="00B24EDA" w:rsidRPr="00B24EDA">
        <w:rPr>
          <w:bCs/>
        </w:rPr>
        <w:t>0</w:t>
      </w:r>
      <w:r w:rsidR="003F4DDE" w:rsidRPr="00B24EDA">
        <w:rPr>
          <w:bCs/>
        </w:rPr>
        <w:t xml:space="preserve">/21 </w:t>
      </w:r>
      <w:r w:rsidRPr="00B24EDA">
        <w:rPr>
          <w:bCs/>
        </w:rPr>
        <w:t>the income generated from smallholdings was less than £0.1m while L</w:t>
      </w:r>
      <w:r w:rsidR="007A549A">
        <w:rPr>
          <w:bCs/>
        </w:rPr>
        <w:t xml:space="preserve">ancashire </w:t>
      </w:r>
      <w:r w:rsidRPr="00B24EDA">
        <w:rPr>
          <w:bCs/>
        </w:rPr>
        <w:t>C</w:t>
      </w:r>
      <w:r w:rsidR="007A549A">
        <w:rPr>
          <w:bCs/>
        </w:rPr>
        <w:t xml:space="preserve">ounty </w:t>
      </w:r>
      <w:r w:rsidRPr="00B24EDA">
        <w:rPr>
          <w:bCs/>
        </w:rPr>
        <w:t>D</w:t>
      </w:r>
      <w:r w:rsidR="007A549A">
        <w:rPr>
          <w:bCs/>
        </w:rPr>
        <w:t xml:space="preserve">evelopments </w:t>
      </w:r>
      <w:r w:rsidRPr="00B24EDA">
        <w:rPr>
          <w:bCs/>
        </w:rPr>
        <w:t>L</w:t>
      </w:r>
      <w:r w:rsidR="007A549A">
        <w:rPr>
          <w:bCs/>
        </w:rPr>
        <w:t>td</w:t>
      </w:r>
      <w:r w:rsidRPr="00B24EDA">
        <w:rPr>
          <w:bCs/>
        </w:rPr>
        <w:t xml:space="preserve"> made a contribution to costs of </w:t>
      </w:r>
      <w:r w:rsidR="00075931">
        <w:rPr>
          <w:bCs/>
        </w:rPr>
        <w:t>around</w:t>
      </w:r>
      <w:r w:rsidRPr="00B24EDA">
        <w:rPr>
          <w:bCs/>
        </w:rPr>
        <w:t xml:space="preserve"> £</w:t>
      </w:r>
      <w:r w:rsidR="004B40BD" w:rsidRPr="00B24EDA">
        <w:rPr>
          <w:bCs/>
        </w:rPr>
        <w:t>2</w:t>
      </w:r>
      <w:r w:rsidRPr="00B24EDA">
        <w:rPr>
          <w:bCs/>
        </w:rPr>
        <w:t xml:space="preserve">m. </w:t>
      </w:r>
    </w:p>
    <w:p w14:paraId="0CE5B95E" w14:textId="44FAA85A" w:rsidR="0047175F" w:rsidRDefault="00D349E1" w:rsidP="002C2B7E">
      <w:pPr>
        <w:spacing w:after="240"/>
        <w:jc w:val="both"/>
        <w:rPr>
          <w:bCs/>
        </w:rPr>
      </w:pPr>
      <w:r w:rsidRPr="00B24EDA">
        <w:rPr>
          <w:bCs/>
        </w:rPr>
        <w:t xml:space="preserve">Other investment proposals may arise during the year. The proposals could involve changes to current services or changing the use of existing assets. These will be examined by officers and approval sought from the appropriate council </w:t>
      </w:r>
      <w:r w:rsidR="007A549A">
        <w:rPr>
          <w:bCs/>
        </w:rPr>
        <w:t>committee</w:t>
      </w:r>
      <w:r w:rsidRPr="00B24EDA">
        <w:rPr>
          <w:bCs/>
        </w:rPr>
        <w:t>.</w:t>
      </w:r>
    </w:p>
    <w:tbl>
      <w:tblPr>
        <w:tblStyle w:val="TableGrid"/>
        <w:tblW w:w="7764" w:type="dxa"/>
        <w:tblLook w:val="04A0" w:firstRow="1" w:lastRow="0" w:firstColumn="1" w:lastColumn="0" w:noHBand="0" w:noVBand="1"/>
      </w:tblPr>
      <w:tblGrid>
        <w:gridCol w:w="3798"/>
        <w:gridCol w:w="1322"/>
        <w:gridCol w:w="1322"/>
        <w:gridCol w:w="1322"/>
      </w:tblGrid>
      <w:tr w:rsidR="006D01C8" w14:paraId="2233795B" w14:textId="77777777" w:rsidTr="003532A5">
        <w:tc>
          <w:tcPr>
            <w:tcW w:w="3798" w:type="dxa"/>
            <w:vAlign w:val="center"/>
          </w:tcPr>
          <w:p w14:paraId="1BB14E26" w14:textId="77777777" w:rsidR="00F85E24" w:rsidRPr="00075931" w:rsidRDefault="00D349E1" w:rsidP="003532A5">
            <w:pPr>
              <w:spacing w:before="60" w:after="60" w:line="276" w:lineRule="auto"/>
              <w:rPr>
                <w:b/>
                <w:sz w:val="22"/>
                <w:szCs w:val="22"/>
              </w:rPr>
            </w:pPr>
            <w:r w:rsidRPr="00075931">
              <w:rPr>
                <w:b/>
                <w:sz w:val="22"/>
                <w:szCs w:val="22"/>
              </w:rPr>
              <w:t>Total inves</w:t>
            </w:r>
            <w:r w:rsidRPr="00075931">
              <w:rPr>
                <w:b/>
                <w:sz w:val="22"/>
                <w:szCs w:val="22"/>
              </w:rPr>
              <w:t>tment exposure</w:t>
            </w:r>
          </w:p>
        </w:tc>
        <w:tc>
          <w:tcPr>
            <w:tcW w:w="1322" w:type="dxa"/>
          </w:tcPr>
          <w:p w14:paraId="7C0FBD4D" w14:textId="30ECD375" w:rsidR="00F85E24" w:rsidRPr="00075931" w:rsidRDefault="00D349E1" w:rsidP="003532A5">
            <w:pPr>
              <w:spacing w:before="60" w:after="60" w:line="276" w:lineRule="auto"/>
              <w:jc w:val="center"/>
              <w:rPr>
                <w:b/>
                <w:sz w:val="22"/>
                <w:szCs w:val="22"/>
              </w:rPr>
            </w:pPr>
            <w:r w:rsidRPr="00075931">
              <w:rPr>
                <w:b/>
                <w:sz w:val="22"/>
                <w:szCs w:val="22"/>
              </w:rPr>
              <w:t>31</w:t>
            </w:r>
            <w:r w:rsidR="00E874FB" w:rsidRPr="00075931">
              <w:rPr>
                <w:b/>
                <w:sz w:val="22"/>
                <w:szCs w:val="22"/>
              </w:rPr>
              <w:t>/</w:t>
            </w:r>
            <w:r w:rsidRPr="00075931">
              <w:rPr>
                <w:b/>
                <w:sz w:val="22"/>
                <w:szCs w:val="22"/>
              </w:rPr>
              <w:t>03</w:t>
            </w:r>
            <w:r w:rsidR="00E874FB" w:rsidRPr="00075931">
              <w:rPr>
                <w:b/>
                <w:sz w:val="22"/>
                <w:szCs w:val="22"/>
              </w:rPr>
              <w:t>/</w:t>
            </w:r>
            <w:r w:rsidRPr="00075931">
              <w:rPr>
                <w:b/>
                <w:sz w:val="22"/>
                <w:szCs w:val="22"/>
              </w:rPr>
              <w:t>2021 Actual</w:t>
            </w:r>
          </w:p>
        </w:tc>
        <w:tc>
          <w:tcPr>
            <w:tcW w:w="1322" w:type="dxa"/>
            <w:shd w:val="clear" w:color="auto" w:fill="FFFFFF" w:themeFill="background1"/>
          </w:tcPr>
          <w:p w14:paraId="02DE2757" w14:textId="267C65BD" w:rsidR="00F85E24" w:rsidRPr="00075931" w:rsidRDefault="00D349E1" w:rsidP="003532A5">
            <w:pPr>
              <w:spacing w:before="60" w:after="60" w:line="276" w:lineRule="auto"/>
              <w:jc w:val="center"/>
              <w:rPr>
                <w:b/>
                <w:sz w:val="22"/>
                <w:szCs w:val="22"/>
              </w:rPr>
            </w:pPr>
            <w:r w:rsidRPr="00075931">
              <w:rPr>
                <w:b/>
                <w:sz w:val="22"/>
                <w:szCs w:val="22"/>
              </w:rPr>
              <w:t>31</w:t>
            </w:r>
            <w:r w:rsidR="00E874FB" w:rsidRPr="00075931">
              <w:rPr>
                <w:b/>
                <w:sz w:val="22"/>
                <w:szCs w:val="22"/>
              </w:rPr>
              <w:t>/</w:t>
            </w:r>
            <w:r w:rsidRPr="00075931">
              <w:rPr>
                <w:b/>
                <w:sz w:val="22"/>
                <w:szCs w:val="22"/>
              </w:rPr>
              <w:t>03</w:t>
            </w:r>
            <w:r w:rsidR="00E874FB" w:rsidRPr="00075931">
              <w:rPr>
                <w:b/>
                <w:sz w:val="22"/>
                <w:szCs w:val="22"/>
              </w:rPr>
              <w:t>/</w:t>
            </w:r>
            <w:r w:rsidRPr="00075931">
              <w:rPr>
                <w:b/>
                <w:sz w:val="22"/>
                <w:szCs w:val="22"/>
              </w:rPr>
              <w:t>2022 Forecast</w:t>
            </w:r>
          </w:p>
        </w:tc>
        <w:tc>
          <w:tcPr>
            <w:tcW w:w="1322" w:type="dxa"/>
            <w:shd w:val="clear" w:color="auto" w:fill="E7E6E6" w:themeFill="background2"/>
          </w:tcPr>
          <w:p w14:paraId="1F97EB88" w14:textId="7A755BBC" w:rsidR="00F85E24" w:rsidRPr="00075931" w:rsidRDefault="00D349E1" w:rsidP="003532A5">
            <w:pPr>
              <w:spacing w:before="60" w:after="60" w:line="276" w:lineRule="auto"/>
              <w:jc w:val="center"/>
              <w:rPr>
                <w:b/>
                <w:sz w:val="22"/>
                <w:szCs w:val="22"/>
              </w:rPr>
            </w:pPr>
            <w:r w:rsidRPr="00075931">
              <w:rPr>
                <w:b/>
                <w:sz w:val="22"/>
                <w:szCs w:val="22"/>
              </w:rPr>
              <w:t>31</w:t>
            </w:r>
            <w:r w:rsidR="00E874FB" w:rsidRPr="00075931">
              <w:rPr>
                <w:b/>
                <w:sz w:val="22"/>
                <w:szCs w:val="22"/>
              </w:rPr>
              <w:t>/</w:t>
            </w:r>
            <w:r w:rsidRPr="00075931">
              <w:rPr>
                <w:b/>
                <w:sz w:val="22"/>
                <w:szCs w:val="22"/>
              </w:rPr>
              <w:t>03</w:t>
            </w:r>
            <w:r w:rsidR="00E874FB" w:rsidRPr="00075931">
              <w:rPr>
                <w:b/>
                <w:sz w:val="22"/>
                <w:szCs w:val="22"/>
              </w:rPr>
              <w:t>/</w:t>
            </w:r>
            <w:r w:rsidRPr="00075931">
              <w:rPr>
                <w:b/>
                <w:sz w:val="22"/>
                <w:szCs w:val="22"/>
              </w:rPr>
              <w:t>2023 Forecast</w:t>
            </w:r>
          </w:p>
        </w:tc>
      </w:tr>
      <w:tr w:rsidR="006D01C8" w14:paraId="66F1F2CB" w14:textId="77777777" w:rsidTr="003532A5">
        <w:tc>
          <w:tcPr>
            <w:tcW w:w="3798" w:type="dxa"/>
            <w:vAlign w:val="center"/>
          </w:tcPr>
          <w:p w14:paraId="287A3214" w14:textId="77777777" w:rsidR="00F85E24" w:rsidRPr="00075931" w:rsidRDefault="00F85E24" w:rsidP="003532A5">
            <w:pPr>
              <w:spacing w:before="60" w:after="60" w:line="276" w:lineRule="auto"/>
              <w:rPr>
                <w:b/>
                <w:sz w:val="22"/>
                <w:szCs w:val="22"/>
              </w:rPr>
            </w:pPr>
          </w:p>
        </w:tc>
        <w:tc>
          <w:tcPr>
            <w:tcW w:w="1322" w:type="dxa"/>
          </w:tcPr>
          <w:p w14:paraId="72E00307" w14:textId="79799ECF" w:rsidR="00F85E24" w:rsidRPr="00075931" w:rsidRDefault="00D349E1" w:rsidP="003532A5">
            <w:pPr>
              <w:spacing w:before="60" w:after="60" w:line="276" w:lineRule="auto"/>
              <w:jc w:val="center"/>
              <w:rPr>
                <w:b/>
                <w:sz w:val="22"/>
                <w:szCs w:val="22"/>
              </w:rPr>
            </w:pPr>
            <w:r w:rsidRPr="00075931">
              <w:rPr>
                <w:b/>
                <w:sz w:val="22"/>
                <w:szCs w:val="22"/>
              </w:rPr>
              <w:t>£m</w:t>
            </w:r>
          </w:p>
        </w:tc>
        <w:tc>
          <w:tcPr>
            <w:tcW w:w="1322" w:type="dxa"/>
            <w:shd w:val="clear" w:color="auto" w:fill="FFFFFF" w:themeFill="background1"/>
          </w:tcPr>
          <w:p w14:paraId="16E1149D" w14:textId="0FDFA5ED" w:rsidR="00F85E24" w:rsidRPr="00075931" w:rsidRDefault="00D349E1" w:rsidP="003532A5">
            <w:pPr>
              <w:spacing w:before="60" w:after="60" w:line="276" w:lineRule="auto"/>
              <w:jc w:val="center"/>
              <w:rPr>
                <w:b/>
                <w:sz w:val="22"/>
                <w:szCs w:val="22"/>
              </w:rPr>
            </w:pPr>
            <w:r w:rsidRPr="00075931">
              <w:rPr>
                <w:b/>
                <w:sz w:val="22"/>
                <w:szCs w:val="22"/>
              </w:rPr>
              <w:t>£m</w:t>
            </w:r>
          </w:p>
        </w:tc>
        <w:tc>
          <w:tcPr>
            <w:tcW w:w="1322" w:type="dxa"/>
            <w:shd w:val="clear" w:color="auto" w:fill="E7E6E6" w:themeFill="background2"/>
          </w:tcPr>
          <w:p w14:paraId="53E08242" w14:textId="509F5391" w:rsidR="00F85E24" w:rsidRPr="00075931" w:rsidRDefault="00D349E1" w:rsidP="003532A5">
            <w:pPr>
              <w:spacing w:before="60" w:after="60" w:line="276" w:lineRule="auto"/>
              <w:jc w:val="center"/>
              <w:rPr>
                <w:b/>
                <w:sz w:val="22"/>
                <w:szCs w:val="22"/>
              </w:rPr>
            </w:pPr>
            <w:r w:rsidRPr="00075931">
              <w:rPr>
                <w:b/>
                <w:sz w:val="22"/>
                <w:szCs w:val="22"/>
              </w:rPr>
              <w:t>£m</w:t>
            </w:r>
          </w:p>
        </w:tc>
      </w:tr>
      <w:tr w:rsidR="006D01C8" w14:paraId="0DBFA6B0" w14:textId="77777777" w:rsidTr="003532A5">
        <w:tc>
          <w:tcPr>
            <w:tcW w:w="3798" w:type="dxa"/>
          </w:tcPr>
          <w:p w14:paraId="2BC36456" w14:textId="77777777" w:rsidR="00F85E24" w:rsidRPr="00075931" w:rsidRDefault="00D349E1" w:rsidP="003532A5">
            <w:pPr>
              <w:spacing w:before="60" w:after="60" w:line="276" w:lineRule="auto"/>
              <w:rPr>
                <w:sz w:val="22"/>
                <w:szCs w:val="22"/>
              </w:rPr>
            </w:pPr>
            <w:r w:rsidRPr="00075931">
              <w:rPr>
                <w:sz w:val="22"/>
                <w:szCs w:val="22"/>
              </w:rPr>
              <w:t>Treasury management investments</w:t>
            </w:r>
          </w:p>
        </w:tc>
        <w:tc>
          <w:tcPr>
            <w:tcW w:w="1322" w:type="dxa"/>
          </w:tcPr>
          <w:p w14:paraId="01ED0DA3" w14:textId="46A17698" w:rsidR="00F85E24" w:rsidRPr="00075931" w:rsidRDefault="00D349E1" w:rsidP="00075931">
            <w:pPr>
              <w:spacing w:before="60" w:after="60" w:line="276" w:lineRule="auto"/>
              <w:jc w:val="right"/>
              <w:rPr>
                <w:sz w:val="22"/>
                <w:szCs w:val="22"/>
              </w:rPr>
            </w:pPr>
            <w:r w:rsidRPr="00075931">
              <w:rPr>
                <w:sz w:val="22"/>
                <w:szCs w:val="22"/>
              </w:rPr>
              <w:t>636</w:t>
            </w:r>
          </w:p>
        </w:tc>
        <w:tc>
          <w:tcPr>
            <w:tcW w:w="1322" w:type="dxa"/>
            <w:shd w:val="clear" w:color="auto" w:fill="FFFFFF" w:themeFill="background1"/>
          </w:tcPr>
          <w:p w14:paraId="7E30EA3F" w14:textId="2F073D72" w:rsidR="00F85E24" w:rsidRPr="00075931" w:rsidRDefault="00D349E1" w:rsidP="00075931">
            <w:pPr>
              <w:spacing w:before="60" w:after="60" w:line="276" w:lineRule="auto"/>
              <w:jc w:val="right"/>
              <w:rPr>
                <w:sz w:val="22"/>
                <w:szCs w:val="22"/>
              </w:rPr>
            </w:pPr>
            <w:r w:rsidRPr="00075931">
              <w:rPr>
                <w:sz w:val="22"/>
                <w:szCs w:val="22"/>
              </w:rPr>
              <w:t>510</w:t>
            </w:r>
          </w:p>
        </w:tc>
        <w:tc>
          <w:tcPr>
            <w:tcW w:w="1322" w:type="dxa"/>
            <w:shd w:val="clear" w:color="auto" w:fill="E7E6E6" w:themeFill="background2"/>
          </w:tcPr>
          <w:p w14:paraId="35977065" w14:textId="1C305BB9" w:rsidR="00F85E24" w:rsidRPr="00075931" w:rsidRDefault="00D349E1" w:rsidP="00075931">
            <w:pPr>
              <w:spacing w:before="60" w:after="60" w:line="276" w:lineRule="auto"/>
              <w:jc w:val="right"/>
              <w:rPr>
                <w:sz w:val="22"/>
                <w:szCs w:val="22"/>
              </w:rPr>
            </w:pPr>
            <w:r w:rsidRPr="00075931">
              <w:rPr>
                <w:sz w:val="22"/>
                <w:szCs w:val="22"/>
              </w:rPr>
              <w:t>704</w:t>
            </w:r>
          </w:p>
        </w:tc>
      </w:tr>
      <w:tr w:rsidR="006D01C8" w14:paraId="17CFEC07" w14:textId="77777777" w:rsidTr="0064015E">
        <w:tc>
          <w:tcPr>
            <w:tcW w:w="3798" w:type="dxa"/>
          </w:tcPr>
          <w:p w14:paraId="0C6A792B" w14:textId="77777777" w:rsidR="00F85E24" w:rsidRPr="00075931" w:rsidRDefault="00D349E1" w:rsidP="003532A5">
            <w:pPr>
              <w:spacing w:before="60" w:after="60" w:line="276" w:lineRule="auto"/>
              <w:rPr>
                <w:sz w:val="22"/>
                <w:szCs w:val="22"/>
              </w:rPr>
            </w:pPr>
            <w:r w:rsidRPr="00075931">
              <w:rPr>
                <w:sz w:val="22"/>
                <w:szCs w:val="22"/>
              </w:rPr>
              <w:t>Service investments: Loans</w:t>
            </w:r>
          </w:p>
        </w:tc>
        <w:tc>
          <w:tcPr>
            <w:tcW w:w="1322" w:type="dxa"/>
            <w:vAlign w:val="center"/>
          </w:tcPr>
          <w:p w14:paraId="6BB7282E" w14:textId="113B63F5" w:rsidR="00F85E24" w:rsidRPr="00075931" w:rsidRDefault="00D349E1" w:rsidP="00075931">
            <w:pPr>
              <w:spacing w:before="60" w:after="60" w:line="276" w:lineRule="auto"/>
              <w:jc w:val="right"/>
              <w:rPr>
                <w:sz w:val="22"/>
                <w:szCs w:val="22"/>
              </w:rPr>
            </w:pPr>
            <w:r w:rsidRPr="00075931">
              <w:rPr>
                <w:sz w:val="22"/>
                <w:szCs w:val="22"/>
              </w:rPr>
              <w:t>36</w:t>
            </w:r>
          </w:p>
        </w:tc>
        <w:tc>
          <w:tcPr>
            <w:tcW w:w="1322" w:type="dxa"/>
            <w:shd w:val="clear" w:color="auto" w:fill="FFFFFF" w:themeFill="background1"/>
            <w:vAlign w:val="center"/>
          </w:tcPr>
          <w:p w14:paraId="6C8D6A70" w14:textId="2E767663" w:rsidR="00F85E24" w:rsidRPr="00075931" w:rsidRDefault="00D349E1" w:rsidP="00075931">
            <w:pPr>
              <w:spacing w:before="60" w:after="60" w:line="276" w:lineRule="auto"/>
              <w:jc w:val="right"/>
              <w:rPr>
                <w:sz w:val="22"/>
                <w:szCs w:val="22"/>
              </w:rPr>
            </w:pPr>
            <w:r w:rsidRPr="00075931">
              <w:rPr>
                <w:sz w:val="22"/>
                <w:szCs w:val="22"/>
              </w:rPr>
              <w:t>36</w:t>
            </w:r>
          </w:p>
        </w:tc>
        <w:tc>
          <w:tcPr>
            <w:tcW w:w="1322" w:type="dxa"/>
            <w:shd w:val="clear" w:color="auto" w:fill="E7E6E6" w:themeFill="background2"/>
            <w:vAlign w:val="center"/>
          </w:tcPr>
          <w:p w14:paraId="0839431A" w14:textId="11A87947" w:rsidR="00F85E24" w:rsidRPr="00075931" w:rsidRDefault="00D349E1" w:rsidP="00075931">
            <w:pPr>
              <w:spacing w:before="60" w:after="60" w:line="276" w:lineRule="auto"/>
              <w:jc w:val="right"/>
              <w:rPr>
                <w:sz w:val="22"/>
                <w:szCs w:val="22"/>
              </w:rPr>
            </w:pPr>
            <w:r w:rsidRPr="00075931">
              <w:rPr>
                <w:sz w:val="22"/>
                <w:szCs w:val="22"/>
              </w:rPr>
              <w:t>36</w:t>
            </w:r>
          </w:p>
        </w:tc>
      </w:tr>
      <w:tr w:rsidR="006D01C8" w14:paraId="40A030EC" w14:textId="77777777" w:rsidTr="003532A5">
        <w:tc>
          <w:tcPr>
            <w:tcW w:w="3798" w:type="dxa"/>
          </w:tcPr>
          <w:p w14:paraId="27762E6A" w14:textId="3CD317F5" w:rsidR="00F85E24" w:rsidRPr="00075931" w:rsidRDefault="00D349E1" w:rsidP="003532A5">
            <w:pPr>
              <w:spacing w:before="60" w:after="60" w:line="276" w:lineRule="auto"/>
              <w:rPr>
                <w:sz w:val="22"/>
                <w:szCs w:val="22"/>
              </w:rPr>
            </w:pPr>
            <w:r w:rsidRPr="00075931">
              <w:rPr>
                <w:sz w:val="22"/>
                <w:szCs w:val="22"/>
              </w:rPr>
              <w:t>Commercial investments: other</w:t>
            </w:r>
          </w:p>
        </w:tc>
        <w:tc>
          <w:tcPr>
            <w:tcW w:w="1322" w:type="dxa"/>
          </w:tcPr>
          <w:p w14:paraId="7BDF4F80" w14:textId="0C8BF183" w:rsidR="00F85E24" w:rsidRPr="00075931" w:rsidRDefault="00D349E1" w:rsidP="00075931">
            <w:pPr>
              <w:spacing w:before="60" w:after="60" w:line="276" w:lineRule="auto"/>
              <w:jc w:val="right"/>
              <w:rPr>
                <w:sz w:val="22"/>
                <w:szCs w:val="22"/>
              </w:rPr>
            </w:pPr>
            <w:r w:rsidRPr="00075931">
              <w:rPr>
                <w:sz w:val="22"/>
                <w:szCs w:val="22"/>
              </w:rPr>
              <w:t>209</w:t>
            </w:r>
          </w:p>
        </w:tc>
        <w:tc>
          <w:tcPr>
            <w:tcW w:w="1322" w:type="dxa"/>
            <w:shd w:val="clear" w:color="auto" w:fill="FFFFFF" w:themeFill="background1"/>
          </w:tcPr>
          <w:p w14:paraId="40F9EE24" w14:textId="2941F208" w:rsidR="00F85E24" w:rsidRPr="00075931" w:rsidRDefault="00D349E1" w:rsidP="00075931">
            <w:pPr>
              <w:spacing w:before="60" w:after="60" w:line="276" w:lineRule="auto"/>
              <w:jc w:val="right"/>
              <w:rPr>
                <w:sz w:val="22"/>
                <w:szCs w:val="22"/>
              </w:rPr>
            </w:pPr>
            <w:r w:rsidRPr="00075931">
              <w:rPr>
                <w:sz w:val="22"/>
                <w:szCs w:val="22"/>
              </w:rPr>
              <w:t>190</w:t>
            </w:r>
          </w:p>
        </w:tc>
        <w:tc>
          <w:tcPr>
            <w:tcW w:w="1322" w:type="dxa"/>
            <w:shd w:val="clear" w:color="auto" w:fill="E7E6E6" w:themeFill="background2"/>
          </w:tcPr>
          <w:p w14:paraId="4F31B2AB" w14:textId="07414CF2" w:rsidR="00F85E24" w:rsidRPr="00075931" w:rsidRDefault="00D349E1" w:rsidP="00075931">
            <w:pPr>
              <w:spacing w:before="60" w:after="60" w:line="276" w:lineRule="auto"/>
              <w:jc w:val="right"/>
              <w:rPr>
                <w:sz w:val="22"/>
                <w:szCs w:val="22"/>
              </w:rPr>
            </w:pPr>
            <w:r w:rsidRPr="00075931">
              <w:rPr>
                <w:sz w:val="22"/>
                <w:szCs w:val="22"/>
              </w:rPr>
              <w:t>-</w:t>
            </w:r>
          </w:p>
        </w:tc>
      </w:tr>
      <w:tr w:rsidR="006D01C8" w14:paraId="2057FE6F" w14:textId="77777777" w:rsidTr="003532A5">
        <w:tc>
          <w:tcPr>
            <w:tcW w:w="3798" w:type="dxa"/>
          </w:tcPr>
          <w:p w14:paraId="5C81AFAA" w14:textId="237759B0" w:rsidR="00F85E24" w:rsidRPr="00075931" w:rsidRDefault="00D349E1" w:rsidP="003532A5">
            <w:pPr>
              <w:spacing w:before="60" w:after="60" w:line="276" w:lineRule="auto"/>
              <w:rPr>
                <w:b/>
                <w:bCs/>
                <w:sz w:val="22"/>
                <w:szCs w:val="22"/>
              </w:rPr>
            </w:pPr>
            <w:r>
              <w:rPr>
                <w:b/>
                <w:bCs/>
                <w:sz w:val="22"/>
                <w:szCs w:val="22"/>
              </w:rPr>
              <w:t>Total Investments</w:t>
            </w:r>
          </w:p>
        </w:tc>
        <w:tc>
          <w:tcPr>
            <w:tcW w:w="1322" w:type="dxa"/>
          </w:tcPr>
          <w:p w14:paraId="763CF61B" w14:textId="1D277539" w:rsidR="00F85E24" w:rsidRPr="00075931" w:rsidRDefault="00D349E1" w:rsidP="00075931">
            <w:pPr>
              <w:spacing w:before="60" w:after="60" w:line="276" w:lineRule="auto"/>
              <w:jc w:val="right"/>
              <w:rPr>
                <w:b/>
                <w:bCs/>
                <w:sz w:val="22"/>
                <w:szCs w:val="22"/>
              </w:rPr>
            </w:pPr>
            <w:r w:rsidRPr="00075931">
              <w:rPr>
                <w:b/>
                <w:bCs/>
                <w:sz w:val="22"/>
                <w:szCs w:val="22"/>
              </w:rPr>
              <w:t>881</w:t>
            </w:r>
          </w:p>
        </w:tc>
        <w:tc>
          <w:tcPr>
            <w:tcW w:w="1322" w:type="dxa"/>
            <w:shd w:val="clear" w:color="auto" w:fill="FFFFFF" w:themeFill="background1"/>
          </w:tcPr>
          <w:p w14:paraId="1BBA527C" w14:textId="0E662AF8" w:rsidR="00F85E24" w:rsidRPr="00075931" w:rsidRDefault="00D349E1" w:rsidP="00075931">
            <w:pPr>
              <w:spacing w:before="60" w:after="60" w:line="276" w:lineRule="auto"/>
              <w:jc w:val="right"/>
              <w:rPr>
                <w:b/>
                <w:bCs/>
                <w:sz w:val="22"/>
                <w:szCs w:val="22"/>
              </w:rPr>
            </w:pPr>
            <w:r w:rsidRPr="00075931">
              <w:rPr>
                <w:b/>
                <w:bCs/>
                <w:sz w:val="22"/>
                <w:szCs w:val="22"/>
              </w:rPr>
              <w:t>736</w:t>
            </w:r>
          </w:p>
        </w:tc>
        <w:tc>
          <w:tcPr>
            <w:tcW w:w="1322" w:type="dxa"/>
            <w:shd w:val="clear" w:color="auto" w:fill="E7E6E6" w:themeFill="background2"/>
          </w:tcPr>
          <w:p w14:paraId="55FB2F72" w14:textId="6F31A392" w:rsidR="00F85E24" w:rsidRPr="00075931" w:rsidRDefault="00D349E1" w:rsidP="00075931">
            <w:pPr>
              <w:spacing w:before="60" w:after="60" w:line="276" w:lineRule="auto"/>
              <w:jc w:val="right"/>
              <w:rPr>
                <w:b/>
                <w:bCs/>
                <w:sz w:val="22"/>
                <w:szCs w:val="22"/>
              </w:rPr>
            </w:pPr>
            <w:r w:rsidRPr="00075931">
              <w:rPr>
                <w:b/>
                <w:bCs/>
                <w:sz w:val="22"/>
                <w:szCs w:val="22"/>
              </w:rPr>
              <w:t>740</w:t>
            </w:r>
          </w:p>
        </w:tc>
      </w:tr>
    </w:tbl>
    <w:p w14:paraId="559013FB" w14:textId="494E3AD6" w:rsidR="002C2B7E" w:rsidRDefault="00D349E1" w:rsidP="00D349E1">
      <w:pPr>
        <w:jc w:val="both"/>
        <w:rPr>
          <w:bCs/>
        </w:rPr>
      </w:pPr>
      <w:r>
        <w:rPr>
          <w:bCs/>
        </w:rPr>
        <w:t xml:space="preserve"> </w:t>
      </w:r>
    </w:p>
    <w:p w14:paraId="59340692" w14:textId="60E3ED2E" w:rsidR="00901C92" w:rsidRPr="00F86B98" w:rsidRDefault="00D349E1" w:rsidP="00D349E1">
      <w:pPr>
        <w:jc w:val="both"/>
        <w:rPr>
          <w:bCs/>
        </w:rPr>
      </w:pPr>
      <w:r>
        <w:rPr>
          <w:bCs/>
        </w:rPr>
        <w:t xml:space="preserve">It is anticipated that borrowing will remain within the capital requirements and therefore none of the investments are funded from borrowing. The income derived from service and commercial activities is not material to the funding of the council's revenue </w:t>
      </w:r>
      <w:r>
        <w:rPr>
          <w:bCs/>
        </w:rPr>
        <w:t xml:space="preserve">budget. Income from treasury management investments is shown in the treasury management strategy. </w:t>
      </w:r>
    </w:p>
    <w:sectPr w:rsidR="00901C92" w:rsidRPr="00F86B98" w:rsidSect="004B6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3D6A"/>
    <w:multiLevelType w:val="hybridMultilevel"/>
    <w:tmpl w:val="43905A64"/>
    <w:lvl w:ilvl="0" w:tplc="800A860A">
      <w:start w:val="1"/>
      <w:numFmt w:val="bullet"/>
      <w:lvlText w:val=""/>
      <w:lvlJc w:val="left"/>
      <w:pPr>
        <w:ind w:left="720" w:hanging="360"/>
      </w:pPr>
      <w:rPr>
        <w:rFonts w:ascii="Symbol" w:hAnsi="Symbol" w:hint="default"/>
      </w:rPr>
    </w:lvl>
    <w:lvl w:ilvl="1" w:tplc="A67687CE" w:tentative="1">
      <w:start w:val="1"/>
      <w:numFmt w:val="bullet"/>
      <w:lvlText w:val="o"/>
      <w:lvlJc w:val="left"/>
      <w:pPr>
        <w:ind w:left="1440" w:hanging="360"/>
      </w:pPr>
      <w:rPr>
        <w:rFonts w:ascii="Courier New" w:hAnsi="Courier New" w:cs="Courier New" w:hint="default"/>
      </w:rPr>
    </w:lvl>
    <w:lvl w:ilvl="2" w:tplc="7494F164" w:tentative="1">
      <w:start w:val="1"/>
      <w:numFmt w:val="bullet"/>
      <w:lvlText w:val=""/>
      <w:lvlJc w:val="left"/>
      <w:pPr>
        <w:ind w:left="2160" w:hanging="360"/>
      </w:pPr>
      <w:rPr>
        <w:rFonts w:ascii="Wingdings" w:hAnsi="Wingdings" w:hint="default"/>
      </w:rPr>
    </w:lvl>
    <w:lvl w:ilvl="3" w:tplc="405EC174" w:tentative="1">
      <w:start w:val="1"/>
      <w:numFmt w:val="bullet"/>
      <w:lvlText w:val=""/>
      <w:lvlJc w:val="left"/>
      <w:pPr>
        <w:ind w:left="2880" w:hanging="360"/>
      </w:pPr>
      <w:rPr>
        <w:rFonts w:ascii="Symbol" w:hAnsi="Symbol" w:hint="default"/>
      </w:rPr>
    </w:lvl>
    <w:lvl w:ilvl="4" w:tplc="1270D498" w:tentative="1">
      <w:start w:val="1"/>
      <w:numFmt w:val="bullet"/>
      <w:lvlText w:val="o"/>
      <w:lvlJc w:val="left"/>
      <w:pPr>
        <w:ind w:left="3600" w:hanging="360"/>
      </w:pPr>
      <w:rPr>
        <w:rFonts w:ascii="Courier New" w:hAnsi="Courier New" w:cs="Courier New" w:hint="default"/>
      </w:rPr>
    </w:lvl>
    <w:lvl w:ilvl="5" w:tplc="7EB42BF0" w:tentative="1">
      <w:start w:val="1"/>
      <w:numFmt w:val="bullet"/>
      <w:lvlText w:val=""/>
      <w:lvlJc w:val="left"/>
      <w:pPr>
        <w:ind w:left="4320" w:hanging="360"/>
      </w:pPr>
      <w:rPr>
        <w:rFonts w:ascii="Wingdings" w:hAnsi="Wingdings" w:hint="default"/>
      </w:rPr>
    </w:lvl>
    <w:lvl w:ilvl="6" w:tplc="06EAB4FC" w:tentative="1">
      <w:start w:val="1"/>
      <w:numFmt w:val="bullet"/>
      <w:lvlText w:val=""/>
      <w:lvlJc w:val="left"/>
      <w:pPr>
        <w:ind w:left="5040" w:hanging="360"/>
      </w:pPr>
      <w:rPr>
        <w:rFonts w:ascii="Symbol" w:hAnsi="Symbol" w:hint="default"/>
      </w:rPr>
    </w:lvl>
    <w:lvl w:ilvl="7" w:tplc="A52626E6" w:tentative="1">
      <w:start w:val="1"/>
      <w:numFmt w:val="bullet"/>
      <w:lvlText w:val="o"/>
      <w:lvlJc w:val="left"/>
      <w:pPr>
        <w:ind w:left="5760" w:hanging="360"/>
      </w:pPr>
      <w:rPr>
        <w:rFonts w:ascii="Courier New" w:hAnsi="Courier New" w:cs="Courier New" w:hint="default"/>
      </w:rPr>
    </w:lvl>
    <w:lvl w:ilvl="8" w:tplc="C28E3D3E" w:tentative="1">
      <w:start w:val="1"/>
      <w:numFmt w:val="bullet"/>
      <w:lvlText w:val=""/>
      <w:lvlJc w:val="left"/>
      <w:pPr>
        <w:ind w:left="6480" w:hanging="360"/>
      </w:pPr>
      <w:rPr>
        <w:rFonts w:ascii="Wingdings" w:hAnsi="Wingdings" w:hint="default"/>
      </w:rPr>
    </w:lvl>
  </w:abstractNum>
  <w:abstractNum w:abstractNumId="1" w15:restartNumberingAfterBreak="0">
    <w:nsid w:val="30AC04D1"/>
    <w:multiLevelType w:val="hybridMultilevel"/>
    <w:tmpl w:val="2C6C975E"/>
    <w:lvl w:ilvl="0" w:tplc="A0EE52AE">
      <w:numFmt w:val="bullet"/>
      <w:lvlText w:val="•"/>
      <w:lvlJc w:val="left"/>
      <w:pPr>
        <w:ind w:left="1080" w:hanging="720"/>
      </w:pPr>
      <w:rPr>
        <w:rFonts w:ascii="Arial" w:eastAsia="Times New Roman" w:hAnsi="Arial" w:cs="Arial" w:hint="default"/>
        <w:b/>
      </w:rPr>
    </w:lvl>
    <w:lvl w:ilvl="1" w:tplc="6212D19A" w:tentative="1">
      <w:start w:val="1"/>
      <w:numFmt w:val="bullet"/>
      <w:lvlText w:val="o"/>
      <w:lvlJc w:val="left"/>
      <w:pPr>
        <w:ind w:left="1440" w:hanging="360"/>
      </w:pPr>
      <w:rPr>
        <w:rFonts w:ascii="Courier New" w:hAnsi="Courier New" w:cs="Courier New" w:hint="default"/>
      </w:rPr>
    </w:lvl>
    <w:lvl w:ilvl="2" w:tplc="9CE6D17A" w:tentative="1">
      <w:start w:val="1"/>
      <w:numFmt w:val="bullet"/>
      <w:lvlText w:val=""/>
      <w:lvlJc w:val="left"/>
      <w:pPr>
        <w:ind w:left="2160" w:hanging="360"/>
      </w:pPr>
      <w:rPr>
        <w:rFonts w:ascii="Wingdings" w:hAnsi="Wingdings" w:hint="default"/>
      </w:rPr>
    </w:lvl>
    <w:lvl w:ilvl="3" w:tplc="C1103CF2" w:tentative="1">
      <w:start w:val="1"/>
      <w:numFmt w:val="bullet"/>
      <w:lvlText w:val=""/>
      <w:lvlJc w:val="left"/>
      <w:pPr>
        <w:ind w:left="2880" w:hanging="360"/>
      </w:pPr>
      <w:rPr>
        <w:rFonts w:ascii="Symbol" w:hAnsi="Symbol" w:hint="default"/>
      </w:rPr>
    </w:lvl>
    <w:lvl w:ilvl="4" w:tplc="9530CC80" w:tentative="1">
      <w:start w:val="1"/>
      <w:numFmt w:val="bullet"/>
      <w:lvlText w:val="o"/>
      <w:lvlJc w:val="left"/>
      <w:pPr>
        <w:ind w:left="3600" w:hanging="360"/>
      </w:pPr>
      <w:rPr>
        <w:rFonts w:ascii="Courier New" w:hAnsi="Courier New" w:cs="Courier New" w:hint="default"/>
      </w:rPr>
    </w:lvl>
    <w:lvl w:ilvl="5" w:tplc="E7F89650" w:tentative="1">
      <w:start w:val="1"/>
      <w:numFmt w:val="bullet"/>
      <w:lvlText w:val=""/>
      <w:lvlJc w:val="left"/>
      <w:pPr>
        <w:ind w:left="4320" w:hanging="360"/>
      </w:pPr>
      <w:rPr>
        <w:rFonts w:ascii="Wingdings" w:hAnsi="Wingdings" w:hint="default"/>
      </w:rPr>
    </w:lvl>
    <w:lvl w:ilvl="6" w:tplc="2676D1FA" w:tentative="1">
      <w:start w:val="1"/>
      <w:numFmt w:val="bullet"/>
      <w:lvlText w:val=""/>
      <w:lvlJc w:val="left"/>
      <w:pPr>
        <w:ind w:left="5040" w:hanging="360"/>
      </w:pPr>
      <w:rPr>
        <w:rFonts w:ascii="Symbol" w:hAnsi="Symbol" w:hint="default"/>
      </w:rPr>
    </w:lvl>
    <w:lvl w:ilvl="7" w:tplc="D8F2592C" w:tentative="1">
      <w:start w:val="1"/>
      <w:numFmt w:val="bullet"/>
      <w:lvlText w:val="o"/>
      <w:lvlJc w:val="left"/>
      <w:pPr>
        <w:ind w:left="5760" w:hanging="360"/>
      </w:pPr>
      <w:rPr>
        <w:rFonts w:ascii="Courier New" w:hAnsi="Courier New" w:cs="Courier New" w:hint="default"/>
      </w:rPr>
    </w:lvl>
    <w:lvl w:ilvl="8" w:tplc="44B0A54E" w:tentative="1">
      <w:start w:val="1"/>
      <w:numFmt w:val="bullet"/>
      <w:lvlText w:val=""/>
      <w:lvlJc w:val="left"/>
      <w:pPr>
        <w:ind w:left="6480" w:hanging="360"/>
      </w:pPr>
      <w:rPr>
        <w:rFonts w:ascii="Wingdings" w:hAnsi="Wingdings" w:hint="default"/>
      </w:rPr>
    </w:lvl>
  </w:abstractNum>
  <w:abstractNum w:abstractNumId="2" w15:restartNumberingAfterBreak="0">
    <w:nsid w:val="41AC12BF"/>
    <w:multiLevelType w:val="hybridMultilevel"/>
    <w:tmpl w:val="DBC00314"/>
    <w:lvl w:ilvl="0" w:tplc="F89E8B98">
      <w:numFmt w:val="bullet"/>
      <w:lvlText w:val="•"/>
      <w:lvlJc w:val="left"/>
      <w:pPr>
        <w:ind w:left="1440" w:hanging="720"/>
      </w:pPr>
      <w:rPr>
        <w:rFonts w:ascii="Arial" w:eastAsia="Times New Roman" w:hAnsi="Arial" w:cs="Arial" w:hint="default"/>
        <w:b/>
      </w:rPr>
    </w:lvl>
    <w:lvl w:ilvl="1" w:tplc="AF721E3E" w:tentative="1">
      <w:start w:val="1"/>
      <w:numFmt w:val="bullet"/>
      <w:lvlText w:val="o"/>
      <w:lvlJc w:val="left"/>
      <w:pPr>
        <w:ind w:left="1800" w:hanging="360"/>
      </w:pPr>
      <w:rPr>
        <w:rFonts w:ascii="Courier New" w:hAnsi="Courier New" w:cs="Courier New" w:hint="default"/>
      </w:rPr>
    </w:lvl>
    <w:lvl w:ilvl="2" w:tplc="A16086EE" w:tentative="1">
      <w:start w:val="1"/>
      <w:numFmt w:val="bullet"/>
      <w:lvlText w:val=""/>
      <w:lvlJc w:val="left"/>
      <w:pPr>
        <w:ind w:left="2520" w:hanging="360"/>
      </w:pPr>
      <w:rPr>
        <w:rFonts w:ascii="Wingdings" w:hAnsi="Wingdings" w:hint="default"/>
      </w:rPr>
    </w:lvl>
    <w:lvl w:ilvl="3" w:tplc="CEC63302" w:tentative="1">
      <w:start w:val="1"/>
      <w:numFmt w:val="bullet"/>
      <w:lvlText w:val=""/>
      <w:lvlJc w:val="left"/>
      <w:pPr>
        <w:ind w:left="3240" w:hanging="360"/>
      </w:pPr>
      <w:rPr>
        <w:rFonts w:ascii="Symbol" w:hAnsi="Symbol" w:hint="default"/>
      </w:rPr>
    </w:lvl>
    <w:lvl w:ilvl="4" w:tplc="4E2C6214" w:tentative="1">
      <w:start w:val="1"/>
      <w:numFmt w:val="bullet"/>
      <w:lvlText w:val="o"/>
      <w:lvlJc w:val="left"/>
      <w:pPr>
        <w:ind w:left="3960" w:hanging="360"/>
      </w:pPr>
      <w:rPr>
        <w:rFonts w:ascii="Courier New" w:hAnsi="Courier New" w:cs="Courier New" w:hint="default"/>
      </w:rPr>
    </w:lvl>
    <w:lvl w:ilvl="5" w:tplc="191CA7EE" w:tentative="1">
      <w:start w:val="1"/>
      <w:numFmt w:val="bullet"/>
      <w:lvlText w:val=""/>
      <w:lvlJc w:val="left"/>
      <w:pPr>
        <w:ind w:left="4680" w:hanging="360"/>
      </w:pPr>
      <w:rPr>
        <w:rFonts w:ascii="Wingdings" w:hAnsi="Wingdings" w:hint="default"/>
      </w:rPr>
    </w:lvl>
    <w:lvl w:ilvl="6" w:tplc="FD5C47EA" w:tentative="1">
      <w:start w:val="1"/>
      <w:numFmt w:val="bullet"/>
      <w:lvlText w:val=""/>
      <w:lvlJc w:val="left"/>
      <w:pPr>
        <w:ind w:left="5400" w:hanging="360"/>
      </w:pPr>
      <w:rPr>
        <w:rFonts w:ascii="Symbol" w:hAnsi="Symbol" w:hint="default"/>
      </w:rPr>
    </w:lvl>
    <w:lvl w:ilvl="7" w:tplc="54CA2C5E" w:tentative="1">
      <w:start w:val="1"/>
      <w:numFmt w:val="bullet"/>
      <w:lvlText w:val="o"/>
      <w:lvlJc w:val="left"/>
      <w:pPr>
        <w:ind w:left="6120" w:hanging="360"/>
      </w:pPr>
      <w:rPr>
        <w:rFonts w:ascii="Courier New" w:hAnsi="Courier New" w:cs="Courier New" w:hint="default"/>
      </w:rPr>
    </w:lvl>
    <w:lvl w:ilvl="8" w:tplc="5A224C96" w:tentative="1">
      <w:start w:val="1"/>
      <w:numFmt w:val="bullet"/>
      <w:lvlText w:val=""/>
      <w:lvlJc w:val="left"/>
      <w:pPr>
        <w:ind w:left="6840" w:hanging="360"/>
      </w:pPr>
      <w:rPr>
        <w:rFonts w:ascii="Wingdings" w:hAnsi="Wingdings" w:hint="default"/>
      </w:rPr>
    </w:lvl>
  </w:abstractNum>
  <w:abstractNum w:abstractNumId="3" w15:restartNumberingAfterBreak="0">
    <w:nsid w:val="4DCA0414"/>
    <w:multiLevelType w:val="hybridMultilevel"/>
    <w:tmpl w:val="474A450C"/>
    <w:lvl w:ilvl="0" w:tplc="440846FC">
      <w:numFmt w:val="bullet"/>
      <w:lvlText w:val="•"/>
      <w:lvlJc w:val="left"/>
      <w:pPr>
        <w:ind w:left="1440" w:hanging="720"/>
      </w:pPr>
      <w:rPr>
        <w:rFonts w:ascii="Arial" w:eastAsia="Times New Roman" w:hAnsi="Arial" w:cs="Arial" w:hint="default"/>
        <w:b/>
      </w:rPr>
    </w:lvl>
    <w:lvl w:ilvl="1" w:tplc="A29CDB4C" w:tentative="1">
      <w:start w:val="1"/>
      <w:numFmt w:val="bullet"/>
      <w:lvlText w:val="o"/>
      <w:lvlJc w:val="left"/>
      <w:pPr>
        <w:ind w:left="1800" w:hanging="360"/>
      </w:pPr>
      <w:rPr>
        <w:rFonts w:ascii="Courier New" w:hAnsi="Courier New" w:cs="Courier New" w:hint="default"/>
      </w:rPr>
    </w:lvl>
    <w:lvl w:ilvl="2" w:tplc="7F626FA6" w:tentative="1">
      <w:start w:val="1"/>
      <w:numFmt w:val="bullet"/>
      <w:lvlText w:val=""/>
      <w:lvlJc w:val="left"/>
      <w:pPr>
        <w:ind w:left="2520" w:hanging="360"/>
      </w:pPr>
      <w:rPr>
        <w:rFonts w:ascii="Wingdings" w:hAnsi="Wingdings" w:hint="default"/>
      </w:rPr>
    </w:lvl>
    <w:lvl w:ilvl="3" w:tplc="AB04372C" w:tentative="1">
      <w:start w:val="1"/>
      <w:numFmt w:val="bullet"/>
      <w:lvlText w:val=""/>
      <w:lvlJc w:val="left"/>
      <w:pPr>
        <w:ind w:left="3240" w:hanging="360"/>
      </w:pPr>
      <w:rPr>
        <w:rFonts w:ascii="Symbol" w:hAnsi="Symbol" w:hint="default"/>
      </w:rPr>
    </w:lvl>
    <w:lvl w:ilvl="4" w:tplc="11A09EC8" w:tentative="1">
      <w:start w:val="1"/>
      <w:numFmt w:val="bullet"/>
      <w:lvlText w:val="o"/>
      <w:lvlJc w:val="left"/>
      <w:pPr>
        <w:ind w:left="3960" w:hanging="360"/>
      </w:pPr>
      <w:rPr>
        <w:rFonts w:ascii="Courier New" w:hAnsi="Courier New" w:cs="Courier New" w:hint="default"/>
      </w:rPr>
    </w:lvl>
    <w:lvl w:ilvl="5" w:tplc="D98A0518" w:tentative="1">
      <w:start w:val="1"/>
      <w:numFmt w:val="bullet"/>
      <w:lvlText w:val=""/>
      <w:lvlJc w:val="left"/>
      <w:pPr>
        <w:ind w:left="4680" w:hanging="360"/>
      </w:pPr>
      <w:rPr>
        <w:rFonts w:ascii="Wingdings" w:hAnsi="Wingdings" w:hint="default"/>
      </w:rPr>
    </w:lvl>
    <w:lvl w:ilvl="6" w:tplc="CF4416F2" w:tentative="1">
      <w:start w:val="1"/>
      <w:numFmt w:val="bullet"/>
      <w:lvlText w:val=""/>
      <w:lvlJc w:val="left"/>
      <w:pPr>
        <w:ind w:left="5400" w:hanging="360"/>
      </w:pPr>
      <w:rPr>
        <w:rFonts w:ascii="Symbol" w:hAnsi="Symbol" w:hint="default"/>
      </w:rPr>
    </w:lvl>
    <w:lvl w:ilvl="7" w:tplc="B78CF16C" w:tentative="1">
      <w:start w:val="1"/>
      <w:numFmt w:val="bullet"/>
      <w:lvlText w:val="o"/>
      <w:lvlJc w:val="left"/>
      <w:pPr>
        <w:ind w:left="6120" w:hanging="360"/>
      </w:pPr>
      <w:rPr>
        <w:rFonts w:ascii="Courier New" w:hAnsi="Courier New" w:cs="Courier New" w:hint="default"/>
      </w:rPr>
    </w:lvl>
    <w:lvl w:ilvl="8" w:tplc="6F7C4272" w:tentative="1">
      <w:start w:val="1"/>
      <w:numFmt w:val="bullet"/>
      <w:lvlText w:val=""/>
      <w:lvlJc w:val="left"/>
      <w:pPr>
        <w:ind w:left="6840" w:hanging="360"/>
      </w:pPr>
      <w:rPr>
        <w:rFonts w:ascii="Wingdings" w:hAnsi="Wingdings" w:hint="default"/>
      </w:rPr>
    </w:lvl>
  </w:abstractNum>
  <w:abstractNum w:abstractNumId="4" w15:restartNumberingAfterBreak="0">
    <w:nsid w:val="654C5249"/>
    <w:multiLevelType w:val="hybridMultilevel"/>
    <w:tmpl w:val="56706D72"/>
    <w:lvl w:ilvl="0" w:tplc="87204D36">
      <w:start w:val="1"/>
      <w:numFmt w:val="bullet"/>
      <w:lvlText w:val=""/>
      <w:lvlJc w:val="left"/>
      <w:pPr>
        <w:ind w:left="789" w:hanging="360"/>
      </w:pPr>
      <w:rPr>
        <w:rFonts w:ascii="Symbol" w:hAnsi="Symbol" w:hint="default"/>
      </w:rPr>
    </w:lvl>
    <w:lvl w:ilvl="1" w:tplc="A62EE38E" w:tentative="1">
      <w:start w:val="1"/>
      <w:numFmt w:val="bullet"/>
      <w:lvlText w:val="o"/>
      <w:lvlJc w:val="left"/>
      <w:pPr>
        <w:ind w:left="1509" w:hanging="360"/>
      </w:pPr>
      <w:rPr>
        <w:rFonts w:ascii="Courier New" w:hAnsi="Courier New" w:cs="Courier New" w:hint="default"/>
      </w:rPr>
    </w:lvl>
    <w:lvl w:ilvl="2" w:tplc="4476E24A" w:tentative="1">
      <w:start w:val="1"/>
      <w:numFmt w:val="bullet"/>
      <w:lvlText w:val=""/>
      <w:lvlJc w:val="left"/>
      <w:pPr>
        <w:ind w:left="2229" w:hanging="360"/>
      </w:pPr>
      <w:rPr>
        <w:rFonts w:ascii="Wingdings" w:hAnsi="Wingdings" w:hint="default"/>
      </w:rPr>
    </w:lvl>
    <w:lvl w:ilvl="3" w:tplc="E96A1AA4" w:tentative="1">
      <w:start w:val="1"/>
      <w:numFmt w:val="bullet"/>
      <w:lvlText w:val=""/>
      <w:lvlJc w:val="left"/>
      <w:pPr>
        <w:ind w:left="2949" w:hanging="360"/>
      </w:pPr>
      <w:rPr>
        <w:rFonts w:ascii="Symbol" w:hAnsi="Symbol" w:hint="default"/>
      </w:rPr>
    </w:lvl>
    <w:lvl w:ilvl="4" w:tplc="6DD620B8" w:tentative="1">
      <w:start w:val="1"/>
      <w:numFmt w:val="bullet"/>
      <w:lvlText w:val="o"/>
      <w:lvlJc w:val="left"/>
      <w:pPr>
        <w:ind w:left="3669" w:hanging="360"/>
      </w:pPr>
      <w:rPr>
        <w:rFonts w:ascii="Courier New" w:hAnsi="Courier New" w:cs="Courier New" w:hint="default"/>
      </w:rPr>
    </w:lvl>
    <w:lvl w:ilvl="5" w:tplc="7EE2276C" w:tentative="1">
      <w:start w:val="1"/>
      <w:numFmt w:val="bullet"/>
      <w:lvlText w:val=""/>
      <w:lvlJc w:val="left"/>
      <w:pPr>
        <w:ind w:left="4389" w:hanging="360"/>
      </w:pPr>
      <w:rPr>
        <w:rFonts w:ascii="Wingdings" w:hAnsi="Wingdings" w:hint="default"/>
      </w:rPr>
    </w:lvl>
    <w:lvl w:ilvl="6" w:tplc="DF6A8C78" w:tentative="1">
      <w:start w:val="1"/>
      <w:numFmt w:val="bullet"/>
      <w:lvlText w:val=""/>
      <w:lvlJc w:val="left"/>
      <w:pPr>
        <w:ind w:left="5109" w:hanging="360"/>
      </w:pPr>
      <w:rPr>
        <w:rFonts w:ascii="Symbol" w:hAnsi="Symbol" w:hint="default"/>
      </w:rPr>
    </w:lvl>
    <w:lvl w:ilvl="7" w:tplc="5E323642" w:tentative="1">
      <w:start w:val="1"/>
      <w:numFmt w:val="bullet"/>
      <w:lvlText w:val="o"/>
      <w:lvlJc w:val="left"/>
      <w:pPr>
        <w:ind w:left="5829" w:hanging="360"/>
      </w:pPr>
      <w:rPr>
        <w:rFonts w:ascii="Courier New" w:hAnsi="Courier New" w:cs="Courier New" w:hint="default"/>
      </w:rPr>
    </w:lvl>
    <w:lvl w:ilvl="8" w:tplc="FC2CAF52" w:tentative="1">
      <w:start w:val="1"/>
      <w:numFmt w:val="bullet"/>
      <w:lvlText w:val=""/>
      <w:lvlJc w:val="left"/>
      <w:pPr>
        <w:ind w:left="6549" w:hanging="360"/>
      </w:pPr>
      <w:rPr>
        <w:rFonts w:ascii="Wingdings" w:hAnsi="Wingdings" w:hint="default"/>
      </w:rPr>
    </w:lvl>
  </w:abstractNum>
  <w:abstractNum w:abstractNumId="5" w15:restartNumberingAfterBreak="0">
    <w:nsid w:val="6F7405D8"/>
    <w:multiLevelType w:val="hybridMultilevel"/>
    <w:tmpl w:val="CDFA923C"/>
    <w:lvl w:ilvl="0" w:tplc="0DD621AC">
      <w:start w:val="1"/>
      <w:numFmt w:val="bullet"/>
      <w:lvlText w:val=""/>
      <w:lvlJc w:val="left"/>
      <w:pPr>
        <w:ind w:left="1004" w:hanging="360"/>
      </w:pPr>
      <w:rPr>
        <w:rFonts w:ascii="Symbol" w:hAnsi="Symbol" w:hint="default"/>
      </w:rPr>
    </w:lvl>
    <w:lvl w:ilvl="1" w:tplc="14BCB92C" w:tentative="1">
      <w:start w:val="1"/>
      <w:numFmt w:val="bullet"/>
      <w:lvlText w:val="o"/>
      <w:lvlJc w:val="left"/>
      <w:pPr>
        <w:ind w:left="1724" w:hanging="360"/>
      </w:pPr>
      <w:rPr>
        <w:rFonts w:ascii="Courier New" w:hAnsi="Courier New" w:cs="Courier New" w:hint="default"/>
      </w:rPr>
    </w:lvl>
    <w:lvl w:ilvl="2" w:tplc="6B2AC65E" w:tentative="1">
      <w:start w:val="1"/>
      <w:numFmt w:val="bullet"/>
      <w:lvlText w:val=""/>
      <w:lvlJc w:val="left"/>
      <w:pPr>
        <w:ind w:left="2444" w:hanging="360"/>
      </w:pPr>
      <w:rPr>
        <w:rFonts w:ascii="Wingdings" w:hAnsi="Wingdings" w:hint="default"/>
      </w:rPr>
    </w:lvl>
    <w:lvl w:ilvl="3" w:tplc="A2762470" w:tentative="1">
      <w:start w:val="1"/>
      <w:numFmt w:val="bullet"/>
      <w:lvlText w:val=""/>
      <w:lvlJc w:val="left"/>
      <w:pPr>
        <w:ind w:left="3164" w:hanging="360"/>
      </w:pPr>
      <w:rPr>
        <w:rFonts w:ascii="Symbol" w:hAnsi="Symbol" w:hint="default"/>
      </w:rPr>
    </w:lvl>
    <w:lvl w:ilvl="4" w:tplc="4E86FA4A" w:tentative="1">
      <w:start w:val="1"/>
      <w:numFmt w:val="bullet"/>
      <w:lvlText w:val="o"/>
      <w:lvlJc w:val="left"/>
      <w:pPr>
        <w:ind w:left="3884" w:hanging="360"/>
      </w:pPr>
      <w:rPr>
        <w:rFonts w:ascii="Courier New" w:hAnsi="Courier New" w:cs="Courier New" w:hint="default"/>
      </w:rPr>
    </w:lvl>
    <w:lvl w:ilvl="5" w:tplc="AFE6B3B0" w:tentative="1">
      <w:start w:val="1"/>
      <w:numFmt w:val="bullet"/>
      <w:lvlText w:val=""/>
      <w:lvlJc w:val="left"/>
      <w:pPr>
        <w:ind w:left="4604" w:hanging="360"/>
      </w:pPr>
      <w:rPr>
        <w:rFonts w:ascii="Wingdings" w:hAnsi="Wingdings" w:hint="default"/>
      </w:rPr>
    </w:lvl>
    <w:lvl w:ilvl="6" w:tplc="130C2EBE" w:tentative="1">
      <w:start w:val="1"/>
      <w:numFmt w:val="bullet"/>
      <w:lvlText w:val=""/>
      <w:lvlJc w:val="left"/>
      <w:pPr>
        <w:ind w:left="5324" w:hanging="360"/>
      </w:pPr>
      <w:rPr>
        <w:rFonts w:ascii="Symbol" w:hAnsi="Symbol" w:hint="default"/>
      </w:rPr>
    </w:lvl>
    <w:lvl w:ilvl="7" w:tplc="B360EADA" w:tentative="1">
      <w:start w:val="1"/>
      <w:numFmt w:val="bullet"/>
      <w:lvlText w:val="o"/>
      <w:lvlJc w:val="left"/>
      <w:pPr>
        <w:ind w:left="6044" w:hanging="360"/>
      </w:pPr>
      <w:rPr>
        <w:rFonts w:ascii="Courier New" w:hAnsi="Courier New" w:cs="Courier New" w:hint="default"/>
      </w:rPr>
    </w:lvl>
    <w:lvl w:ilvl="8" w:tplc="41FE0D12"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7E"/>
    <w:rsid w:val="000635FA"/>
    <w:rsid w:val="00075931"/>
    <w:rsid w:val="000A4784"/>
    <w:rsid w:val="000C4930"/>
    <w:rsid w:val="000F1117"/>
    <w:rsid w:val="001B2017"/>
    <w:rsid w:val="00290578"/>
    <w:rsid w:val="002C1C4A"/>
    <w:rsid w:val="002C2B7E"/>
    <w:rsid w:val="003408EB"/>
    <w:rsid w:val="003532A5"/>
    <w:rsid w:val="003B62C1"/>
    <w:rsid w:val="003F12EE"/>
    <w:rsid w:val="003F4DDE"/>
    <w:rsid w:val="00403365"/>
    <w:rsid w:val="004425E7"/>
    <w:rsid w:val="0047175F"/>
    <w:rsid w:val="00490FE0"/>
    <w:rsid w:val="004B40BD"/>
    <w:rsid w:val="004D5374"/>
    <w:rsid w:val="00520681"/>
    <w:rsid w:val="005312C1"/>
    <w:rsid w:val="00571679"/>
    <w:rsid w:val="0064015E"/>
    <w:rsid w:val="00670015"/>
    <w:rsid w:val="006C2F67"/>
    <w:rsid w:val="006D01C8"/>
    <w:rsid w:val="00716D68"/>
    <w:rsid w:val="007A549A"/>
    <w:rsid w:val="008E726C"/>
    <w:rsid w:val="00901C92"/>
    <w:rsid w:val="00907693"/>
    <w:rsid w:val="009713BE"/>
    <w:rsid w:val="009843D7"/>
    <w:rsid w:val="00985A96"/>
    <w:rsid w:val="009D21F4"/>
    <w:rsid w:val="00A13AF2"/>
    <w:rsid w:val="00AE118C"/>
    <w:rsid w:val="00B03E0B"/>
    <w:rsid w:val="00B24EDA"/>
    <w:rsid w:val="00B32D6A"/>
    <w:rsid w:val="00C00684"/>
    <w:rsid w:val="00C04398"/>
    <w:rsid w:val="00D349E1"/>
    <w:rsid w:val="00E42152"/>
    <w:rsid w:val="00E874FB"/>
    <w:rsid w:val="00F636C0"/>
    <w:rsid w:val="00F77532"/>
    <w:rsid w:val="00F85E24"/>
    <w:rsid w:val="00F86B98"/>
    <w:rsid w:val="00F86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F0A5"/>
  <w15:chartTrackingRefBased/>
  <w15:docId w15:val="{F94AAF08-10AC-4D6A-94B6-A56219F8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7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7E"/>
    <w:pPr>
      <w:ind w:left="720"/>
      <w:contextualSpacing/>
    </w:pPr>
  </w:style>
  <w:style w:type="table" w:styleId="TableGrid">
    <w:name w:val="Table Grid"/>
    <w:basedOn w:val="TableNormal"/>
    <w:uiPriority w:val="59"/>
    <w:rsid w:val="002C2B7E"/>
    <w:pPr>
      <w:spacing w:after="0" w:line="240" w:lineRule="auto"/>
    </w:pPr>
    <w:rPr>
      <w:rFonts w:ascii="Arial" w:eastAsia="Times New Roman"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62C1"/>
    <w:rPr>
      <w:sz w:val="16"/>
      <w:szCs w:val="16"/>
    </w:rPr>
  </w:style>
  <w:style w:type="paragraph" w:styleId="CommentText">
    <w:name w:val="annotation text"/>
    <w:basedOn w:val="Normal"/>
    <w:link w:val="CommentTextChar"/>
    <w:uiPriority w:val="99"/>
    <w:semiHidden/>
    <w:unhideWhenUsed/>
    <w:rsid w:val="003B62C1"/>
    <w:rPr>
      <w:sz w:val="20"/>
      <w:szCs w:val="20"/>
    </w:rPr>
  </w:style>
  <w:style w:type="character" w:customStyle="1" w:styleId="CommentTextChar">
    <w:name w:val="Comment Text Char"/>
    <w:basedOn w:val="DefaultParagraphFont"/>
    <w:link w:val="CommentText"/>
    <w:uiPriority w:val="99"/>
    <w:semiHidden/>
    <w:rsid w:val="003B62C1"/>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B62C1"/>
    <w:rPr>
      <w:b/>
      <w:bCs/>
    </w:rPr>
  </w:style>
  <w:style w:type="character" w:customStyle="1" w:styleId="CommentSubjectChar">
    <w:name w:val="Comment Subject Char"/>
    <w:basedOn w:val="CommentTextChar"/>
    <w:link w:val="CommentSubject"/>
    <w:uiPriority w:val="99"/>
    <w:semiHidden/>
    <w:rsid w:val="003B62C1"/>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6" ma:contentTypeDescription="Create a new document." ma:contentTypeScope="" ma:versionID="babef6f94309d73936f548b50129161d">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7fd73dc2de6bca7168f249ec5d5b2b90"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2E704-2B53-4FC6-AE0E-D97307B0E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F68B7-5C9B-4758-A2CC-0A94BC9F4733}">
  <ds:schemaRefs>
    <ds:schemaRef ds:uri="http://schemas.microsoft.com/sharepoint/v3/contenttype/forms"/>
  </ds:schemaRefs>
</ds:datastoreItem>
</file>

<file path=customXml/itemProps3.xml><?xml version="1.0" encoding="utf-8"?>
<ds:datastoreItem xmlns:ds="http://schemas.openxmlformats.org/officeDocument/2006/customXml" ds:itemID="{E85DDA28-D9B3-4175-BE3E-432A90C5C47B}">
  <ds:schemaRefs>
    <ds:schemaRef ds:uri="http://www.w3.org/XML/1998/namespace"/>
    <ds:schemaRef ds:uri="eb1163ee-0472-4b21-9845-77639109b86b"/>
    <ds:schemaRef ds:uri="7407a200-7ce4-42fa-8e67-2f4335de98c5"/>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Gorman, Dave</cp:lastModifiedBy>
  <cp:revision>4</cp:revision>
  <dcterms:created xsi:type="dcterms:W3CDTF">2022-02-03T15:31:00Z</dcterms:created>
  <dcterms:modified xsi:type="dcterms:W3CDTF">2022-02-09T13:03:00Z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